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4C6F20" w:rsidR="00370F26" w:rsidP="00370F26" w:rsidRDefault="00370F26" w14:paraId="03D6BFEA" w14:textId="77777777">
      <w:pPr>
        <w:pStyle w:val="1bodycopy10pt"/>
        <w:jc w:val="center"/>
        <w:rPr>
          <w:rFonts w:ascii="Instrument Sans" w:hAnsi="Instrument Sans" w:cs="Arial"/>
          <w:b/>
          <w:bCs/>
          <w:sz w:val="72"/>
          <w:szCs w:val="72"/>
        </w:rPr>
      </w:pPr>
      <w:r w:rsidRPr="004C6F20">
        <w:rPr>
          <w:rFonts w:ascii="Instrument Sans" w:hAnsi="Instrument Sans" w:cs="Arial"/>
          <w:noProof/>
          <w:szCs w:val="22"/>
        </w:rPr>
        <w:drawing>
          <wp:inline distT="0" distB="0" distL="0" distR="0" wp14:anchorId="7FC78B2C" wp14:editId="25331983">
            <wp:extent cx="3237865" cy="811530"/>
            <wp:effectExtent l="0" t="0" r="0" b="0"/>
            <wp:docPr id="35" name="Picture 35" descr="A black text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black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C6F20" w:rsidR="00370F26" w:rsidP="00370F26" w:rsidRDefault="00370F26" w14:paraId="608D1354" w14:textId="77777777">
      <w:pPr>
        <w:pStyle w:val="1bodycopy10pt"/>
        <w:jc w:val="center"/>
        <w:rPr>
          <w:rFonts w:ascii="Instrument Sans" w:hAnsi="Instrument Sans" w:cs="Arial"/>
          <w:b/>
          <w:bCs/>
          <w:sz w:val="72"/>
          <w:szCs w:val="72"/>
        </w:rPr>
      </w:pPr>
    </w:p>
    <w:p w:rsidRPr="004C6F20" w:rsidR="00370F26" w:rsidP="00370F26" w:rsidRDefault="00370F26" w14:paraId="1F2B5482" w14:textId="77777777">
      <w:pPr>
        <w:pStyle w:val="1bodycopy10pt"/>
        <w:jc w:val="center"/>
        <w:rPr>
          <w:rFonts w:ascii="Instrument Sans" w:hAnsi="Instrument Sans" w:cs="Arial"/>
          <w:b/>
          <w:bCs/>
          <w:sz w:val="72"/>
          <w:szCs w:val="72"/>
        </w:rPr>
      </w:pPr>
    </w:p>
    <w:p w:rsidR="00370F26" w:rsidP="00370F26" w:rsidRDefault="00370F26" w14:paraId="5C55D4A5" w14:textId="77777777">
      <w:pPr>
        <w:pStyle w:val="1bodycopy10pt"/>
        <w:jc w:val="center"/>
        <w:rPr>
          <w:rFonts w:ascii="Instrument Sans" w:hAnsi="Instrument Sans" w:cs="Arial"/>
          <w:b/>
          <w:bCs/>
          <w:sz w:val="72"/>
          <w:szCs w:val="72"/>
        </w:rPr>
      </w:pPr>
    </w:p>
    <w:p w:rsidRPr="004C6F20" w:rsidR="00370F26" w:rsidP="00370F26" w:rsidRDefault="00370F26" w14:paraId="1ECD1087" w14:textId="77777777">
      <w:pPr>
        <w:pStyle w:val="1bodycopy10pt"/>
        <w:jc w:val="center"/>
        <w:rPr>
          <w:rFonts w:ascii="Instrument Sans" w:hAnsi="Instrument Sans" w:cs="Arial"/>
          <w:b/>
          <w:bCs/>
          <w:sz w:val="72"/>
          <w:szCs w:val="72"/>
        </w:rPr>
      </w:pPr>
    </w:p>
    <w:p w:rsidRPr="004C6F20" w:rsidR="00370F26" w:rsidP="00370F26" w:rsidRDefault="00370F26" w14:paraId="63CB9A7A" w14:textId="034C5C1A">
      <w:pPr>
        <w:pStyle w:val="1bodycopy10pt"/>
        <w:jc w:val="center"/>
        <w:rPr>
          <w:rFonts w:ascii="Instrument Sans" w:hAnsi="Instrument Sans" w:cs="Arial"/>
          <w:b/>
          <w:bCs/>
          <w:sz w:val="72"/>
          <w:szCs w:val="72"/>
        </w:rPr>
      </w:pPr>
      <w:r>
        <w:rPr>
          <w:rFonts w:ascii="Instrument Sans" w:hAnsi="Instrument Sans" w:cs="Arial"/>
          <w:b/>
          <w:bCs/>
          <w:sz w:val="72"/>
          <w:szCs w:val="72"/>
        </w:rPr>
        <w:t>Letting</w:t>
      </w:r>
      <w:r w:rsidR="00905FD7">
        <w:rPr>
          <w:rFonts w:ascii="Instrument Sans" w:hAnsi="Instrument Sans" w:cs="Arial"/>
          <w:b/>
          <w:bCs/>
          <w:sz w:val="72"/>
          <w:szCs w:val="72"/>
        </w:rPr>
        <w:t>s</w:t>
      </w:r>
      <w:r>
        <w:rPr>
          <w:rFonts w:ascii="Instrument Sans" w:hAnsi="Instrument Sans" w:cs="Arial"/>
          <w:b/>
          <w:bCs/>
          <w:sz w:val="72"/>
          <w:szCs w:val="72"/>
        </w:rPr>
        <w:t xml:space="preserve"> Policy</w:t>
      </w:r>
    </w:p>
    <w:p w:rsidRPr="004C6F20" w:rsidR="00370F26" w:rsidP="00370F26" w:rsidRDefault="00370F26" w14:paraId="27DC44F9" w14:textId="77777777">
      <w:pPr>
        <w:pStyle w:val="1bodycopy10pt"/>
        <w:rPr>
          <w:rFonts w:ascii="Instrument Sans" w:hAnsi="Instrument Sans" w:cs="Arial"/>
          <w:sz w:val="56"/>
          <w:szCs w:val="56"/>
        </w:rPr>
      </w:pPr>
    </w:p>
    <w:p w:rsidRPr="004C6F20" w:rsidR="00370F26" w:rsidP="00370F26" w:rsidRDefault="00370F26" w14:paraId="484EB9CE" w14:textId="77777777">
      <w:pPr>
        <w:pStyle w:val="1bodycopy10pt"/>
        <w:rPr>
          <w:rFonts w:ascii="Instrument Sans" w:hAnsi="Instrument Sans" w:cs="Arial"/>
          <w:sz w:val="56"/>
          <w:szCs w:val="56"/>
        </w:rPr>
      </w:pPr>
    </w:p>
    <w:p w:rsidRPr="004C6F20" w:rsidR="00370F26" w:rsidP="00370F26" w:rsidRDefault="00370F26" w14:paraId="0F3AFA44" w14:textId="77777777">
      <w:pPr>
        <w:pStyle w:val="1bodycopy10pt"/>
        <w:jc w:val="center"/>
        <w:rPr>
          <w:rFonts w:ascii="Instrument Sans" w:hAnsi="Instrument Sans" w:cs="Arial"/>
          <w:sz w:val="22"/>
          <w:szCs w:val="22"/>
        </w:rPr>
      </w:pPr>
    </w:p>
    <w:p w:rsidRPr="004C6F20" w:rsidR="00370F26" w:rsidP="00370F26" w:rsidRDefault="00370F26" w14:paraId="649FC1CA" w14:textId="77777777">
      <w:pPr>
        <w:pStyle w:val="1bodycopy10pt"/>
        <w:jc w:val="center"/>
        <w:rPr>
          <w:rFonts w:ascii="Instrument Sans" w:hAnsi="Instrument Sans" w:cs="Arial"/>
          <w:sz w:val="22"/>
          <w:szCs w:val="22"/>
        </w:rPr>
      </w:pPr>
    </w:p>
    <w:p w:rsidRPr="004C6F20" w:rsidR="00370F26" w:rsidP="00370F26" w:rsidRDefault="00370F26" w14:paraId="5FDA6056" w14:textId="77777777">
      <w:pPr>
        <w:pStyle w:val="1bodycopy10pt"/>
        <w:jc w:val="center"/>
        <w:rPr>
          <w:rFonts w:ascii="Instrument Sans" w:hAnsi="Instrument Sans" w:cs="Arial"/>
          <w:sz w:val="22"/>
          <w:szCs w:val="22"/>
        </w:rPr>
      </w:pPr>
    </w:p>
    <w:p w:rsidRPr="004C6F20" w:rsidR="00370F26" w:rsidP="00370F26" w:rsidRDefault="00370F26" w14:paraId="57AEAA0B" w14:textId="77777777">
      <w:pPr>
        <w:pStyle w:val="1bodycopy10pt"/>
        <w:jc w:val="center"/>
        <w:rPr>
          <w:rFonts w:ascii="Instrument Sans" w:hAnsi="Instrument Sans" w:cs="Arial"/>
          <w:sz w:val="22"/>
          <w:szCs w:val="22"/>
        </w:rPr>
      </w:pPr>
    </w:p>
    <w:p w:rsidRPr="004C6F20" w:rsidR="00370F26" w:rsidP="00370F26" w:rsidRDefault="00370F26" w14:paraId="62BE49ED" w14:textId="77777777">
      <w:pPr>
        <w:pStyle w:val="1bodycopy10pt"/>
        <w:jc w:val="center"/>
        <w:rPr>
          <w:rFonts w:ascii="Instrument Sans" w:hAnsi="Instrument Sans" w:cs="Arial"/>
          <w:sz w:val="22"/>
          <w:szCs w:val="22"/>
        </w:rPr>
      </w:pPr>
    </w:p>
    <w:p w:rsidRPr="004C6F20" w:rsidR="00370F26" w:rsidP="00370F26" w:rsidRDefault="00370F26" w14:paraId="3926F273" w14:textId="77777777">
      <w:pPr>
        <w:pStyle w:val="1bodycopy10pt"/>
        <w:rPr>
          <w:rFonts w:ascii="Instrument Sans" w:hAnsi="Instrument Sans" w:cs="Arial"/>
          <w:sz w:val="22"/>
          <w:szCs w:val="22"/>
        </w:rPr>
      </w:pPr>
    </w:p>
    <w:p w:rsidRPr="004C6F20" w:rsidR="00370F26" w:rsidP="00370F26" w:rsidRDefault="00370F26" w14:paraId="262FE817" w14:textId="77777777">
      <w:pPr>
        <w:rPr>
          <w:rFonts w:ascii="Instrument Sans" w:hAnsi="Instrument Sans" w:cs="Arial"/>
          <w:b/>
          <w:szCs w:val="22"/>
        </w:rPr>
      </w:pPr>
    </w:p>
    <w:tbl>
      <w:tblPr>
        <w:tblpPr w:leftFromText="180" w:rightFromText="180" w:vertAnchor="text" w:horzAnchor="margin" w:tblpY="241"/>
        <w:tblW w:w="9720" w:type="dxa"/>
        <w:tblBorders>
          <w:insideH w:val="single" w:color="FFFFFF" w:sz="18" w:space="0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Pr="004C6F20" w:rsidR="00370F26" w:rsidTr="08CD7D0C" w14:paraId="0ED466D4" w14:textId="77777777">
        <w:tc>
          <w:tcPr>
            <w:tcW w:w="2586" w:type="dxa"/>
            <w:tcBorders>
              <w:top w:val="nil"/>
              <w:bottom w:val="single" w:color="FFFFFF" w:themeColor="background1" w:sz="18" w:space="0"/>
            </w:tcBorders>
            <w:shd w:val="clear" w:color="auto" w:fill="D8DFDE"/>
            <w:tcMar/>
          </w:tcPr>
          <w:p w:rsidRPr="004C6F20" w:rsidR="00370F26" w:rsidP="006E25C0" w:rsidRDefault="00370F26" w14:paraId="16E78AAE" w14:textId="77777777">
            <w:pPr>
              <w:pStyle w:val="1bodycopy10pt"/>
              <w:rPr>
                <w:rFonts w:ascii="Instrument Sans" w:hAnsi="Instrument Sans" w:cs="Arial"/>
                <w:b/>
                <w:sz w:val="22"/>
                <w:szCs w:val="22"/>
              </w:rPr>
            </w:pPr>
            <w:r w:rsidRPr="004C6F20">
              <w:rPr>
                <w:rFonts w:ascii="Instrument Sans" w:hAnsi="Instrument Sans" w:cs="Arial"/>
                <w:b/>
                <w:sz w:val="22"/>
                <w:szCs w:val="22"/>
              </w:rPr>
              <w:t>Version</w:t>
            </w:r>
          </w:p>
        </w:tc>
        <w:tc>
          <w:tcPr>
            <w:tcW w:w="3268" w:type="dxa"/>
            <w:tcBorders>
              <w:top w:val="nil"/>
              <w:bottom w:val="single" w:color="FFFFFF" w:themeColor="background1" w:sz="18" w:space="0"/>
            </w:tcBorders>
            <w:shd w:val="clear" w:color="auto" w:fill="D8DFDE"/>
            <w:tcMar/>
          </w:tcPr>
          <w:p w:rsidRPr="004C6F20" w:rsidR="00370F26" w:rsidP="006E25C0" w:rsidRDefault="00370F26" w14:paraId="4BC00443" w14:textId="6D2F2CA7">
            <w:pPr>
              <w:pStyle w:val="1bodycopy11pt"/>
              <w:rPr>
                <w:rFonts w:ascii="Instrument Sans" w:hAnsi="Instrument Sans"/>
                <w:szCs w:val="22"/>
              </w:rPr>
            </w:pPr>
            <w:r>
              <w:rPr>
                <w:rFonts w:ascii="Instrument Sans" w:hAnsi="Instrument Sans"/>
                <w:szCs w:val="22"/>
              </w:rPr>
              <w:t>1.0</w:t>
            </w:r>
          </w:p>
        </w:tc>
        <w:tc>
          <w:tcPr>
            <w:tcW w:w="3866" w:type="dxa"/>
            <w:tcBorders>
              <w:top w:val="nil"/>
              <w:bottom w:val="single" w:color="FFFFFF" w:themeColor="background1" w:sz="18" w:space="0"/>
            </w:tcBorders>
            <w:shd w:val="clear" w:color="auto" w:fill="D8DFDE"/>
            <w:tcMar/>
          </w:tcPr>
          <w:p w:rsidRPr="004C6F20" w:rsidR="00370F26" w:rsidP="006E25C0" w:rsidRDefault="00370F26" w14:paraId="20704A05" w14:textId="77777777">
            <w:pPr>
              <w:pStyle w:val="1bodycopy11pt"/>
              <w:rPr>
                <w:rFonts w:ascii="Instrument Sans" w:hAnsi="Instrument Sans"/>
                <w:b/>
                <w:szCs w:val="22"/>
              </w:rPr>
            </w:pPr>
          </w:p>
        </w:tc>
      </w:tr>
      <w:tr w:rsidRPr="004C6F20" w:rsidR="00370F26" w:rsidTr="08CD7D0C" w14:paraId="0FE3FA47" w14:textId="77777777">
        <w:tc>
          <w:tcPr>
            <w:tcW w:w="2586" w:type="dxa"/>
            <w:tcBorders>
              <w:top w:val="nil"/>
              <w:bottom w:val="single" w:color="FFFFFF" w:themeColor="background1" w:sz="18" w:space="0"/>
            </w:tcBorders>
            <w:shd w:val="clear" w:color="auto" w:fill="D8DFDE"/>
            <w:tcMar/>
          </w:tcPr>
          <w:p w:rsidRPr="004C6F20" w:rsidR="00370F26" w:rsidP="006E25C0" w:rsidRDefault="00370F26" w14:paraId="057991A9" w14:textId="77777777">
            <w:pPr>
              <w:pStyle w:val="1bodycopy10pt"/>
              <w:rPr>
                <w:rFonts w:ascii="Instrument Sans" w:hAnsi="Instrument Sans" w:cs="Arial"/>
                <w:b/>
                <w:sz w:val="22"/>
                <w:szCs w:val="22"/>
              </w:rPr>
            </w:pPr>
            <w:r w:rsidRPr="004C6F20">
              <w:rPr>
                <w:rFonts w:ascii="Instrument Sans" w:hAnsi="Instrument Sans" w:cs="Arial"/>
                <w:b/>
                <w:sz w:val="22"/>
                <w:szCs w:val="22"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color="FFFFFF" w:themeColor="background1" w:sz="18" w:space="0"/>
            </w:tcBorders>
            <w:shd w:val="clear" w:color="auto" w:fill="D8DFDE"/>
            <w:tcMar/>
          </w:tcPr>
          <w:p w:rsidRPr="004C6F20" w:rsidR="00370F26" w:rsidP="08CD7D0C" w:rsidRDefault="00370F26" w14:paraId="23D5AE2E" w14:textId="30496484">
            <w:pPr>
              <w:pStyle w:val="1bodycopy11pt"/>
              <w:suppressLineNumbers w:val="0"/>
              <w:bidi w:val="0"/>
              <w:spacing w:before="0" w:beforeAutospacing="off" w:after="120" w:afterAutospacing="off" w:line="240" w:lineRule="auto"/>
              <w:ind w:left="0" w:right="850"/>
              <w:jc w:val="left"/>
            </w:pPr>
            <w:r w:rsidRPr="08CD7D0C" w:rsidR="26FCC6D6">
              <w:rPr>
                <w:rFonts w:ascii="Instrument Sans" w:hAnsi="Instrument Sans"/>
              </w:rPr>
              <w:t>Trust Board</w:t>
            </w:r>
          </w:p>
        </w:tc>
        <w:tc>
          <w:tcPr>
            <w:tcW w:w="3866" w:type="dxa"/>
            <w:tcBorders>
              <w:top w:val="nil"/>
              <w:bottom w:val="single" w:color="FFFFFF" w:themeColor="background1" w:sz="18" w:space="0"/>
            </w:tcBorders>
            <w:shd w:val="clear" w:color="auto" w:fill="D8DFDE"/>
            <w:tcMar/>
          </w:tcPr>
          <w:p w:rsidRPr="004C6F20" w:rsidR="00370F26" w:rsidP="08CD7D0C" w:rsidRDefault="00370F26" w14:paraId="5787CD83" w14:textId="6B8F353E">
            <w:pPr>
              <w:pStyle w:val="1bodycopy11pt"/>
              <w:rPr>
                <w:rFonts w:ascii="Instrument Sans" w:hAnsi="Instrument Sans"/>
              </w:rPr>
            </w:pPr>
            <w:r w:rsidRPr="08CD7D0C" w:rsidR="00370F26">
              <w:rPr>
                <w:rFonts w:ascii="Instrument Sans" w:hAnsi="Instrument Sans"/>
                <w:b w:val="1"/>
                <w:bCs w:val="1"/>
              </w:rPr>
              <w:t>Date:</w:t>
            </w:r>
            <w:r w:rsidRPr="08CD7D0C" w:rsidR="00370F26">
              <w:rPr>
                <w:rFonts w:ascii="Instrument Sans" w:hAnsi="Instrument Sans"/>
              </w:rPr>
              <w:t xml:space="preserve">  </w:t>
            </w:r>
            <w:r w:rsidRPr="08CD7D0C" w:rsidR="5284C037">
              <w:rPr>
                <w:rFonts w:ascii="Instrument Sans" w:hAnsi="Instrument Sans"/>
              </w:rPr>
              <w:t>9 October</w:t>
            </w:r>
            <w:r w:rsidRPr="08CD7D0C" w:rsidR="29A47C67">
              <w:rPr>
                <w:rFonts w:ascii="Instrument Sans" w:hAnsi="Instrument Sans"/>
              </w:rPr>
              <w:t xml:space="preserve"> 2024</w:t>
            </w:r>
          </w:p>
        </w:tc>
      </w:tr>
      <w:tr w:rsidRPr="004C6F20" w:rsidR="00370F26" w:rsidTr="08CD7D0C" w14:paraId="6A88BD48" w14:textId="77777777">
        <w:tc>
          <w:tcPr>
            <w:tcW w:w="2586" w:type="dxa"/>
            <w:tcBorders>
              <w:top w:val="nil"/>
              <w:bottom w:val="single" w:color="FFFFFF" w:themeColor="background1" w:sz="18" w:space="0"/>
            </w:tcBorders>
            <w:shd w:val="clear" w:color="auto" w:fill="D8DFDE"/>
            <w:tcMar/>
          </w:tcPr>
          <w:p w:rsidRPr="004C6F20" w:rsidR="00370F26" w:rsidP="006E25C0" w:rsidRDefault="00370F26" w14:paraId="3805278C" w14:textId="77777777">
            <w:pPr>
              <w:pStyle w:val="1bodycopy10pt"/>
              <w:rPr>
                <w:rFonts w:ascii="Instrument Sans" w:hAnsi="Instrument Sans" w:cs="Arial"/>
                <w:b/>
                <w:sz w:val="22"/>
                <w:szCs w:val="22"/>
              </w:rPr>
            </w:pPr>
            <w:r w:rsidRPr="004C6F20">
              <w:rPr>
                <w:rFonts w:ascii="Instrument Sans" w:hAnsi="Instrument Sans" w:cs="Arial"/>
                <w:b/>
                <w:sz w:val="22"/>
                <w:szCs w:val="22"/>
              </w:rPr>
              <w:t>Adopted by:</w:t>
            </w:r>
          </w:p>
        </w:tc>
        <w:tc>
          <w:tcPr>
            <w:tcW w:w="3268" w:type="dxa"/>
            <w:tcBorders>
              <w:top w:val="nil"/>
              <w:bottom w:val="single" w:color="FFFFFF" w:themeColor="background1" w:sz="18" w:space="0"/>
            </w:tcBorders>
            <w:shd w:val="clear" w:color="auto" w:fill="D8DFDE"/>
            <w:tcMar/>
          </w:tcPr>
          <w:p w:rsidRPr="004C6F20" w:rsidR="00370F26" w:rsidP="08CD7D0C" w:rsidRDefault="00905FD7" w14:paraId="38CAF0B7" w14:noSpellErr="1" w14:textId="6716C20D">
            <w:pPr>
              <w:pStyle w:val="1bodycopy11pt"/>
              <w:rPr>
                <w:rFonts w:ascii="Instrument Sans" w:hAnsi="Instrument Sans"/>
              </w:rPr>
            </w:pPr>
          </w:p>
        </w:tc>
        <w:tc>
          <w:tcPr>
            <w:tcW w:w="3866" w:type="dxa"/>
            <w:tcBorders>
              <w:top w:val="nil"/>
              <w:bottom w:val="single" w:color="FFFFFF" w:themeColor="background1" w:sz="18" w:space="0"/>
            </w:tcBorders>
            <w:shd w:val="clear" w:color="auto" w:fill="D8DFDE"/>
            <w:tcMar/>
          </w:tcPr>
          <w:p w:rsidRPr="004C6F20" w:rsidR="00370F26" w:rsidP="006E25C0" w:rsidRDefault="00370F26" w14:paraId="5C816190" w14:textId="77777777">
            <w:pPr>
              <w:pStyle w:val="1bodycopy11pt"/>
              <w:rPr>
                <w:rFonts w:ascii="Instrument Sans" w:hAnsi="Instrument Sans"/>
                <w:b/>
                <w:szCs w:val="22"/>
              </w:rPr>
            </w:pPr>
            <w:r w:rsidRPr="004C6F20">
              <w:rPr>
                <w:rFonts w:ascii="Instrument Sans" w:hAnsi="Instrument Sans"/>
                <w:b/>
                <w:szCs w:val="22"/>
              </w:rPr>
              <w:t>Date:</w:t>
            </w:r>
          </w:p>
        </w:tc>
      </w:tr>
      <w:tr w:rsidRPr="004C6F20" w:rsidR="00370F26" w:rsidTr="08CD7D0C" w14:paraId="33D7DC6F" w14:textId="77777777">
        <w:tc>
          <w:tcPr>
            <w:tcW w:w="2586" w:type="dxa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shd w:val="clear" w:color="auto" w:fill="D8DFDE"/>
            <w:tcMar/>
          </w:tcPr>
          <w:p w:rsidRPr="004C6F20" w:rsidR="00370F26" w:rsidP="006E25C0" w:rsidRDefault="00370F26" w14:paraId="1AD2698C" w14:textId="77777777">
            <w:pPr>
              <w:pStyle w:val="1bodycopy10pt"/>
              <w:rPr>
                <w:rFonts w:ascii="Instrument Sans" w:hAnsi="Instrument Sans" w:cs="Arial"/>
                <w:b/>
                <w:sz w:val="22"/>
                <w:szCs w:val="22"/>
              </w:rPr>
            </w:pPr>
            <w:r w:rsidRPr="004C6F20">
              <w:rPr>
                <w:rFonts w:ascii="Instrument Sans" w:hAnsi="Instrument Sans" w:cs="Arial"/>
                <w:b/>
                <w:sz w:val="22"/>
                <w:szCs w:val="22"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shd w:val="clear" w:color="auto" w:fill="D8DFDE"/>
            <w:tcMar/>
          </w:tcPr>
          <w:p w:rsidRPr="004C6F20" w:rsidR="00370F26" w:rsidP="08CD7D0C" w:rsidRDefault="00370F26" w14:paraId="1527D30A" w14:textId="3A801BBB">
            <w:pPr>
              <w:pStyle w:val="1bodycopy11pt"/>
              <w:rPr>
                <w:rFonts w:ascii="Instrument Sans" w:hAnsi="Instrument Sans"/>
              </w:rPr>
            </w:pPr>
            <w:r w:rsidRPr="08CD7D0C" w:rsidR="00370F26">
              <w:rPr>
                <w:rFonts w:ascii="Instrument Sans" w:hAnsi="Instrument Sans"/>
              </w:rPr>
              <w:t xml:space="preserve">Autumn </w:t>
            </w:r>
            <w:r w:rsidRPr="08CD7D0C" w:rsidR="5D9AD228">
              <w:rPr>
                <w:rFonts w:ascii="Instrument Sans" w:hAnsi="Instrument Sans"/>
              </w:rPr>
              <w:t xml:space="preserve">1 </w:t>
            </w:r>
            <w:r w:rsidRPr="08CD7D0C" w:rsidR="00370F26">
              <w:rPr>
                <w:rFonts w:ascii="Instrument Sans" w:hAnsi="Instrument Sans"/>
              </w:rPr>
              <w:t>2024</w:t>
            </w:r>
          </w:p>
        </w:tc>
      </w:tr>
      <w:tr w:rsidRPr="004C6F20" w:rsidR="00370F26" w:rsidTr="08CD7D0C" w14:paraId="771C146E" w14:textId="77777777">
        <w:tc>
          <w:tcPr>
            <w:tcW w:w="2586" w:type="dxa"/>
            <w:tcBorders>
              <w:top w:val="single" w:color="FFFFFF" w:themeColor="background1" w:sz="18" w:space="0"/>
              <w:bottom w:val="nil"/>
            </w:tcBorders>
            <w:shd w:val="clear" w:color="auto" w:fill="D8DFDE"/>
            <w:tcMar/>
          </w:tcPr>
          <w:p w:rsidRPr="004C6F20" w:rsidR="00370F26" w:rsidP="006E25C0" w:rsidRDefault="00370F26" w14:paraId="7B3051D5" w14:textId="77777777">
            <w:pPr>
              <w:pStyle w:val="1bodycopy10pt"/>
              <w:rPr>
                <w:rFonts w:ascii="Instrument Sans" w:hAnsi="Instrument Sans" w:cs="Arial"/>
                <w:b/>
                <w:sz w:val="22"/>
                <w:szCs w:val="22"/>
              </w:rPr>
            </w:pPr>
            <w:r w:rsidRPr="004C6F20">
              <w:rPr>
                <w:rFonts w:ascii="Instrument Sans" w:hAnsi="Instrument Sans" w:cs="Arial"/>
                <w:b/>
                <w:sz w:val="22"/>
                <w:szCs w:val="22"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color="FFFFFF" w:themeColor="background1" w:sz="18" w:space="0"/>
              <w:bottom w:val="nil"/>
            </w:tcBorders>
            <w:shd w:val="clear" w:color="auto" w:fill="D8DFDE"/>
            <w:tcMar/>
          </w:tcPr>
          <w:p w:rsidRPr="004C6F20" w:rsidR="00370F26" w:rsidP="08CD7D0C" w:rsidRDefault="00370F26" w14:paraId="07C04B79" w14:textId="6FF802B5">
            <w:pPr>
              <w:pStyle w:val="1bodycopy11pt"/>
              <w:rPr>
                <w:rFonts w:ascii="Instrument Sans" w:hAnsi="Instrument Sans"/>
              </w:rPr>
            </w:pPr>
            <w:r w:rsidRPr="08CD7D0C" w:rsidR="00370F26">
              <w:rPr>
                <w:rFonts w:ascii="Instrument Sans" w:hAnsi="Instrument Sans"/>
              </w:rPr>
              <w:t>Autumn</w:t>
            </w:r>
            <w:r w:rsidRPr="08CD7D0C" w:rsidR="4D2DD7A4">
              <w:rPr>
                <w:rFonts w:ascii="Instrument Sans" w:hAnsi="Instrument Sans"/>
              </w:rPr>
              <w:t xml:space="preserve"> 1</w:t>
            </w:r>
            <w:r w:rsidRPr="08CD7D0C" w:rsidR="00370F26">
              <w:rPr>
                <w:rFonts w:ascii="Instrument Sans" w:hAnsi="Instrument Sans"/>
              </w:rPr>
              <w:t xml:space="preserve"> 2027</w:t>
            </w:r>
          </w:p>
        </w:tc>
      </w:tr>
    </w:tbl>
    <w:p w:rsidR="08CD7D0C" w:rsidP="08CD7D0C" w:rsidRDefault="08CD7D0C" w14:paraId="556802B2" w14:textId="08A36FCE">
      <w:pPr>
        <w:pStyle w:val="NoSpacing"/>
        <w:jc w:val="both"/>
        <w:rPr>
          <w:b w:val="1"/>
          <w:bCs w:val="1"/>
          <w:lang w:eastAsia="en-GB"/>
        </w:rPr>
      </w:pPr>
    </w:p>
    <w:p w:rsidR="08CD7D0C" w:rsidP="08CD7D0C" w:rsidRDefault="08CD7D0C" w14:paraId="7BD112B8" w14:textId="7E409F85">
      <w:pPr>
        <w:pStyle w:val="NoSpacing"/>
        <w:jc w:val="both"/>
        <w:rPr>
          <w:b w:val="1"/>
          <w:bCs w:val="1"/>
          <w:lang w:eastAsia="en-GB"/>
        </w:rPr>
      </w:pPr>
    </w:p>
    <w:p w:rsidR="08CD7D0C" w:rsidP="08CD7D0C" w:rsidRDefault="08CD7D0C" w14:paraId="5392447C" w14:textId="7900B0B0">
      <w:pPr>
        <w:pStyle w:val="NoSpacing"/>
        <w:jc w:val="both"/>
        <w:rPr>
          <w:b w:val="1"/>
          <w:bCs w:val="1"/>
          <w:lang w:eastAsia="en-GB"/>
        </w:rPr>
      </w:pPr>
    </w:p>
    <w:p w:rsidRPr="00E9681B" w:rsidR="007C6FD9" w:rsidP="00165FCC" w:rsidRDefault="007C6FD9" w14:paraId="5EEB321F" w14:textId="17AB6C9B">
      <w:pPr>
        <w:pStyle w:val="NoSpacing"/>
        <w:jc w:val="both"/>
        <w:rPr>
          <w:b/>
          <w:bCs/>
          <w:lang w:eastAsia="en-GB"/>
        </w:rPr>
      </w:pPr>
      <w:r w:rsidRPr="00E9681B">
        <w:rPr>
          <w:b/>
          <w:bCs/>
          <w:lang w:eastAsia="en-GB"/>
        </w:rPr>
        <w:lastRenderedPageBreak/>
        <w:t>1. Purpose</w:t>
      </w:r>
    </w:p>
    <w:p w:rsidR="00B14CE6" w:rsidP="00165FCC" w:rsidRDefault="007C6FD9" w14:paraId="620C4F81" w14:textId="1B0168AB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t xml:space="preserve">The purpose of this policy is to ensure that the premises of all schools within the </w:t>
      </w:r>
      <w:r w:rsidR="00FA0073">
        <w:rPr>
          <w:lang w:eastAsia="en-GB"/>
        </w:rPr>
        <w:t xml:space="preserve">Little Way Catholic Educational </w:t>
      </w:r>
      <w:r w:rsidR="00871D47">
        <w:rPr>
          <w:lang w:eastAsia="en-GB"/>
        </w:rPr>
        <w:t>Trust</w:t>
      </w:r>
      <w:r w:rsidR="00FA0073">
        <w:rPr>
          <w:lang w:eastAsia="en-GB"/>
        </w:rPr>
        <w:t xml:space="preserve"> </w:t>
      </w:r>
      <w:r w:rsidRPr="007C6FD9">
        <w:rPr>
          <w:lang w:eastAsia="en-GB"/>
        </w:rPr>
        <w:t xml:space="preserve">are made available to the local community for activities that are consistent with the values of the </w:t>
      </w:r>
      <w:r w:rsidR="00871D47">
        <w:rPr>
          <w:lang w:eastAsia="en-GB"/>
        </w:rPr>
        <w:t>Trust</w:t>
      </w:r>
      <w:r w:rsidRPr="007C6FD9">
        <w:rPr>
          <w:lang w:eastAsia="en-GB"/>
        </w:rPr>
        <w:t xml:space="preserve"> and that do not interfere with school operations. </w:t>
      </w:r>
    </w:p>
    <w:p w:rsidR="00B14CE6" w:rsidP="00165FCC" w:rsidRDefault="00B14CE6" w14:paraId="42304AF7" w14:textId="77777777">
      <w:pPr>
        <w:pStyle w:val="NoSpacing"/>
        <w:jc w:val="both"/>
        <w:rPr>
          <w:lang w:eastAsia="en-GB"/>
        </w:rPr>
      </w:pPr>
    </w:p>
    <w:p w:rsidRPr="007C6FD9" w:rsidR="007C6FD9" w:rsidP="00165FCC" w:rsidRDefault="007C6FD9" w14:paraId="7FEEB802" w14:textId="0D52F291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t>This policy sets out:</w:t>
      </w:r>
    </w:p>
    <w:p w:rsidRPr="007C6FD9" w:rsidR="007C6FD9" w:rsidP="00165FCC" w:rsidRDefault="007C6FD9" w14:paraId="04162263" w14:textId="77777777">
      <w:pPr>
        <w:pStyle w:val="NoSpacing"/>
        <w:numPr>
          <w:ilvl w:val="0"/>
          <w:numId w:val="14"/>
        </w:numPr>
        <w:jc w:val="both"/>
        <w:rPr>
          <w:lang w:eastAsia="en-GB"/>
        </w:rPr>
      </w:pPr>
      <w:r w:rsidRPr="007C6FD9">
        <w:rPr>
          <w:lang w:eastAsia="en-GB"/>
        </w:rPr>
        <w:t>The framework for booking and hiring school facilities.</w:t>
      </w:r>
    </w:p>
    <w:p w:rsidRPr="007C6FD9" w:rsidR="007C6FD9" w:rsidP="00165FCC" w:rsidRDefault="007C6FD9" w14:paraId="6031D49A" w14:textId="77777777">
      <w:pPr>
        <w:pStyle w:val="NoSpacing"/>
        <w:numPr>
          <w:ilvl w:val="0"/>
          <w:numId w:val="14"/>
        </w:numPr>
        <w:jc w:val="both"/>
        <w:rPr>
          <w:lang w:eastAsia="en-GB"/>
        </w:rPr>
      </w:pPr>
      <w:r w:rsidRPr="007C6FD9">
        <w:rPr>
          <w:lang w:eastAsia="en-GB"/>
        </w:rPr>
        <w:t>The terms and conditions that hirers must agree to and follow.</w:t>
      </w:r>
    </w:p>
    <w:p w:rsidRPr="007C6FD9" w:rsidR="007C6FD9" w:rsidP="00165FCC" w:rsidRDefault="007C6FD9" w14:paraId="72B61154" w14:textId="77777777">
      <w:pPr>
        <w:pStyle w:val="NoSpacing"/>
        <w:numPr>
          <w:ilvl w:val="0"/>
          <w:numId w:val="14"/>
        </w:numPr>
        <w:jc w:val="both"/>
        <w:rPr>
          <w:lang w:eastAsia="en-GB"/>
        </w:rPr>
      </w:pPr>
      <w:r w:rsidRPr="007C6FD9">
        <w:rPr>
          <w:lang w:eastAsia="en-GB"/>
        </w:rPr>
        <w:t>Safeguarding, health and safety, and emergency protocols that must be adhered to during lettings.</w:t>
      </w:r>
    </w:p>
    <w:p w:rsidR="007C6FD9" w:rsidP="00165FCC" w:rsidRDefault="007C6FD9" w14:paraId="4DC3A73F" w14:textId="77777777">
      <w:pPr>
        <w:pStyle w:val="NoSpacing"/>
        <w:numPr>
          <w:ilvl w:val="0"/>
          <w:numId w:val="14"/>
        </w:numPr>
        <w:jc w:val="both"/>
        <w:rPr>
          <w:lang w:eastAsia="en-GB"/>
        </w:rPr>
      </w:pPr>
      <w:r w:rsidRPr="007C6FD9">
        <w:rPr>
          <w:lang w:eastAsia="en-GB"/>
        </w:rPr>
        <w:t>Procedures for complaints and policy review.</w:t>
      </w:r>
    </w:p>
    <w:p w:rsidR="00C877D5" w:rsidP="00165FCC" w:rsidRDefault="00C877D5" w14:paraId="7C31CFFD" w14:textId="77777777">
      <w:pPr>
        <w:pStyle w:val="NoSpacing"/>
        <w:jc w:val="both"/>
        <w:rPr>
          <w:lang w:eastAsia="en-GB"/>
        </w:rPr>
      </w:pPr>
    </w:p>
    <w:p w:rsidRPr="007C6FD9" w:rsidR="00C877D5" w:rsidP="00165FCC" w:rsidRDefault="00C877D5" w14:paraId="444EFDE3" w14:textId="05CE2C53">
      <w:pPr>
        <w:pStyle w:val="NoSpacing"/>
        <w:jc w:val="both"/>
        <w:rPr>
          <w:lang w:eastAsia="en-GB"/>
        </w:rPr>
      </w:pPr>
      <w:r w:rsidRPr="00C877D5">
        <w:rPr>
          <w:lang w:eastAsia="en-GB"/>
        </w:rPr>
        <w:t xml:space="preserve">A letting may be defined as ‘any use of the school premises by either a community group or a commercial organisation’, regardless of whether a letting fee is charged. It must not interfere with the primary activity of the school, which is to provide </w:t>
      </w:r>
      <w:r>
        <w:rPr>
          <w:lang w:eastAsia="en-GB"/>
        </w:rPr>
        <w:t>the</w:t>
      </w:r>
      <w:r w:rsidRPr="00C877D5">
        <w:rPr>
          <w:lang w:eastAsia="en-GB"/>
        </w:rPr>
        <w:t xml:space="preserve"> high</w:t>
      </w:r>
      <w:r>
        <w:rPr>
          <w:lang w:eastAsia="en-GB"/>
        </w:rPr>
        <w:t>est</w:t>
      </w:r>
      <w:r w:rsidRPr="00C877D5">
        <w:rPr>
          <w:lang w:eastAsia="en-GB"/>
        </w:rPr>
        <w:t xml:space="preserve"> standard of education for all its pupils.</w:t>
      </w:r>
    </w:p>
    <w:p w:rsidR="006317DC" w:rsidP="00165FCC" w:rsidRDefault="006317DC" w14:paraId="019C19EA" w14:textId="77777777">
      <w:pPr>
        <w:pStyle w:val="NoSpacing"/>
        <w:jc w:val="both"/>
        <w:rPr>
          <w:lang w:eastAsia="en-GB"/>
        </w:rPr>
      </w:pPr>
    </w:p>
    <w:p w:rsidR="00772AF8" w:rsidP="00165FCC" w:rsidRDefault="007C6FD9" w14:paraId="37DB45DF" w14:textId="77777777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t xml:space="preserve">Each school within the </w:t>
      </w:r>
      <w:r w:rsidR="00871D47">
        <w:rPr>
          <w:lang w:eastAsia="en-GB"/>
        </w:rPr>
        <w:t>Trust</w:t>
      </w:r>
      <w:r w:rsidRPr="007C6FD9">
        <w:rPr>
          <w:lang w:eastAsia="en-GB"/>
        </w:rPr>
        <w:t xml:space="preserve"> has the flexibility to </w:t>
      </w:r>
      <w:r w:rsidR="00BB2D21">
        <w:rPr>
          <w:lang w:eastAsia="en-GB"/>
        </w:rPr>
        <w:t xml:space="preserve">further </w:t>
      </w:r>
      <w:r w:rsidRPr="007C6FD9">
        <w:rPr>
          <w:lang w:eastAsia="en-GB"/>
        </w:rPr>
        <w:t>tailor this overarching policy to suit their individual facilities</w:t>
      </w:r>
      <w:r w:rsidR="002356CF">
        <w:rPr>
          <w:lang w:eastAsia="en-GB"/>
        </w:rPr>
        <w:t xml:space="preserve"> and school needs</w:t>
      </w:r>
      <w:r w:rsidR="00772AF8">
        <w:rPr>
          <w:lang w:eastAsia="en-GB"/>
        </w:rPr>
        <w:t xml:space="preserve">. </w:t>
      </w:r>
    </w:p>
    <w:p w:rsidR="00772AF8" w:rsidP="00165FCC" w:rsidRDefault="00772AF8" w14:paraId="1059A771" w14:textId="77777777">
      <w:pPr>
        <w:pStyle w:val="NoSpacing"/>
        <w:jc w:val="both"/>
        <w:rPr>
          <w:lang w:eastAsia="en-GB"/>
        </w:rPr>
      </w:pPr>
    </w:p>
    <w:p w:rsidR="007C6FD9" w:rsidP="00165FCC" w:rsidRDefault="00772AF8" w14:paraId="65F3ECBB" w14:textId="7214504E">
      <w:pPr>
        <w:pStyle w:val="NoSpacing"/>
        <w:jc w:val="both"/>
        <w:rPr>
          <w:lang w:eastAsia="en-GB"/>
        </w:rPr>
      </w:pPr>
      <w:r>
        <w:rPr>
          <w:lang w:eastAsia="en-GB"/>
        </w:rPr>
        <w:t>T</w:t>
      </w:r>
      <w:r w:rsidR="00165FCC">
        <w:rPr>
          <w:lang w:eastAsia="en-GB"/>
        </w:rPr>
        <w:t xml:space="preserve">he </w:t>
      </w:r>
      <w:r w:rsidR="00883A89">
        <w:rPr>
          <w:lang w:eastAsia="en-GB"/>
        </w:rPr>
        <w:t xml:space="preserve">individual schools </w:t>
      </w:r>
      <w:r w:rsidR="00165FCC">
        <w:rPr>
          <w:lang w:eastAsia="en-GB"/>
        </w:rPr>
        <w:t>Headteachers decision is final</w:t>
      </w:r>
      <w:r w:rsidR="00883A89">
        <w:rPr>
          <w:lang w:eastAsia="en-GB"/>
        </w:rPr>
        <w:t xml:space="preserve"> on if the letting is appropriate</w:t>
      </w:r>
      <w:r w:rsidR="00BB2D21">
        <w:rPr>
          <w:lang w:eastAsia="en-GB"/>
        </w:rPr>
        <w:t xml:space="preserve">. </w:t>
      </w:r>
    </w:p>
    <w:p w:rsidRPr="007C6FD9" w:rsidR="00E9681B" w:rsidP="00165FCC" w:rsidRDefault="00E9681B" w14:paraId="0214A084" w14:textId="77777777">
      <w:pPr>
        <w:pStyle w:val="NoSpacing"/>
        <w:jc w:val="both"/>
        <w:rPr>
          <w:lang w:eastAsia="en-GB"/>
        </w:rPr>
      </w:pPr>
    </w:p>
    <w:p w:rsidRPr="00E9681B" w:rsidR="007C6FD9" w:rsidP="00165FCC" w:rsidRDefault="007C6FD9" w14:paraId="59CDC1C3" w14:textId="77777777">
      <w:pPr>
        <w:pStyle w:val="NoSpacing"/>
        <w:jc w:val="both"/>
        <w:rPr>
          <w:b/>
          <w:bCs/>
          <w:lang w:eastAsia="en-GB"/>
        </w:rPr>
      </w:pPr>
      <w:r w:rsidRPr="00E9681B">
        <w:rPr>
          <w:b/>
          <w:bCs/>
          <w:lang w:eastAsia="en-GB"/>
        </w:rPr>
        <w:t>2. Aims</w:t>
      </w:r>
    </w:p>
    <w:p w:rsidRPr="007C6FD9" w:rsidR="007C6FD9" w:rsidP="00165FCC" w:rsidRDefault="007C6FD9" w14:paraId="458F2B09" w14:textId="77777777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t>This policy aims to:</w:t>
      </w:r>
    </w:p>
    <w:p w:rsidRPr="007C6FD9" w:rsidR="007C6FD9" w:rsidP="00165FCC" w:rsidRDefault="007C6FD9" w14:paraId="2072BFE7" w14:textId="77777777">
      <w:pPr>
        <w:pStyle w:val="NoSpacing"/>
        <w:numPr>
          <w:ilvl w:val="0"/>
          <w:numId w:val="15"/>
        </w:numPr>
        <w:jc w:val="both"/>
        <w:rPr>
          <w:lang w:eastAsia="en-GB"/>
        </w:rPr>
      </w:pPr>
      <w:r w:rsidRPr="007C6FD9">
        <w:rPr>
          <w:lang w:eastAsia="en-GB"/>
        </w:rPr>
        <w:t>Promote the use of school premises as a resource for the local community, contributing to the schools’ role as community hubs.</w:t>
      </w:r>
    </w:p>
    <w:p w:rsidRPr="007C6FD9" w:rsidR="007C6FD9" w:rsidP="00165FCC" w:rsidRDefault="007C6FD9" w14:paraId="6D38CD44" w14:textId="341A50E9">
      <w:pPr>
        <w:pStyle w:val="NoSpacing"/>
        <w:numPr>
          <w:ilvl w:val="0"/>
          <w:numId w:val="15"/>
        </w:numPr>
        <w:jc w:val="both"/>
        <w:rPr>
          <w:lang w:eastAsia="en-GB"/>
        </w:rPr>
      </w:pPr>
      <w:r w:rsidRPr="007C6FD9">
        <w:rPr>
          <w:lang w:eastAsia="en-GB"/>
        </w:rPr>
        <w:t xml:space="preserve">Generate additional revenue to support the educational objectives of the </w:t>
      </w:r>
      <w:r w:rsidR="00871D47">
        <w:rPr>
          <w:lang w:eastAsia="en-GB"/>
        </w:rPr>
        <w:t>Trust</w:t>
      </w:r>
      <w:r w:rsidRPr="007C6FD9">
        <w:rPr>
          <w:lang w:eastAsia="en-GB"/>
        </w:rPr>
        <w:t>.</w:t>
      </w:r>
    </w:p>
    <w:p w:rsidRPr="007C6FD9" w:rsidR="007C6FD9" w:rsidP="00165FCC" w:rsidRDefault="007C6FD9" w14:paraId="3727AD6E" w14:textId="77777777">
      <w:pPr>
        <w:pStyle w:val="NoSpacing"/>
        <w:numPr>
          <w:ilvl w:val="0"/>
          <w:numId w:val="15"/>
        </w:numPr>
        <w:jc w:val="both"/>
        <w:rPr>
          <w:lang w:eastAsia="en-GB"/>
        </w:rPr>
      </w:pPr>
      <w:r w:rsidRPr="007C6FD9">
        <w:rPr>
          <w:lang w:eastAsia="en-GB"/>
        </w:rPr>
        <w:t>Ensure a safe and efficient process for the hiring of facilities, minimising disruption to the school environment.</w:t>
      </w:r>
    </w:p>
    <w:p w:rsidRPr="007C6FD9" w:rsidR="007C6FD9" w:rsidP="00165FCC" w:rsidRDefault="007C6FD9" w14:paraId="08351507" w14:textId="77777777">
      <w:pPr>
        <w:pStyle w:val="NoSpacing"/>
        <w:numPr>
          <w:ilvl w:val="0"/>
          <w:numId w:val="15"/>
        </w:numPr>
        <w:jc w:val="both"/>
        <w:rPr>
          <w:lang w:eastAsia="en-GB"/>
        </w:rPr>
      </w:pPr>
      <w:r w:rsidRPr="007C6FD9">
        <w:rPr>
          <w:lang w:eastAsia="en-GB"/>
        </w:rPr>
        <w:t>Ensure the highest standards of safeguarding, health, safety, and inclusivity are applied to all lettings.</w:t>
      </w:r>
    </w:p>
    <w:p w:rsidRPr="007C6FD9" w:rsidR="007C6FD9" w:rsidP="00165FCC" w:rsidRDefault="007C6FD9" w14:paraId="77746CA1" w14:textId="77777777">
      <w:pPr>
        <w:pStyle w:val="NoSpacing"/>
        <w:numPr>
          <w:ilvl w:val="0"/>
          <w:numId w:val="15"/>
        </w:numPr>
        <w:jc w:val="both"/>
        <w:rPr>
          <w:lang w:eastAsia="en-GB"/>
        </w:rPr>
      </w:pPr>
      <w:r w:rsidRPr="007C6FD9">
        <w:rPr>
          <w:lang w:eastAsia="en-GB"/>
        </w:rPr>
        <w:t>Ensure the school premises are protected from damage or misuse during hire periods.</w:t>
      </w:r>
    </w:p>
    <w:p w:rsidR="00E9681B" w:rsidP="00165FCC" w:rsidRDefault="00E9681B" w14:paraId="02897324" w14:textId="77777777">
      <w:pPr>
        <w:pStyle w:val="NoSpacing"/>
        <w:jc w:val="both"/>
        <w:rPr>
          <w:lang w:eastAsia="en-GB"/>
        </w:rPr>
      </w:pPr>
    </w:p>
    <w:p w:rsidRPr="00E9681B" w:rsidR="007C6FD9" w:rsidP="00165FCC" w:rsidRDefault="007C6FD9" w14:paraId="48785A71" w14:textId="6C5E8E64">
      <w:pPr>
        <w:pStyle w:val="NoSpacing"/>
        <w:jc w:val="both"/>
        <w:rPr>
          <w:b/>
          <w:bCs/>
          <w:lang w:eastAsia="en-GB"/>
        </w:rPr>
      </w:pPr>
      <w:r w:rsidRPr="00E9681B">
        <w:rPr>
          <w:b/>
          <w:bCs/>
          <w:lang w:eastAsia="en-GB"/>
        </w:rPr>
        <w:t>3. Key Guidance and Legal Requirements</w:t>
      </w:r>
    </w:p>
    <w:p w:rsidRPr="007C6FD9" w:rsidR="007C6FD9" w:rsidP="00165FCC" w:rsidRDefault="007C6FD9" w14:paraId="4C3287ED" w14:textId="6E33986F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t xml:space="preserve">All lettings within the </w:t>
      </w:r>
      <w:r w:rsidR="00F213E2">
        <w:rPr>
          <w:lang w:eastAsia="en-GB"/>
        </w:rPr>
        <w:t>Trust</w:t>
      </w:r>
      <w:r w:rsidRPr="007C6FD9">
        <w:rPr>
          <w:lang w:eastAsia="en-GB"/>
        </w:rPr>
        <w:t xml:space="preserve"> must comply with national and local statutory regulations. The key pieces of legislation and guidance relevant to this policy include:</w:t>
      </w:r>
    </w:p>
    <w:p w:rsidRPr="007C6FD9" w:rsidR="007C6FD9" w:rsidP="00165FCC" w:rsidRDefault="007C6FD9" w14:paraId="499577FF" w14:textId="77777777">
      <w:pPr>
        <w:pStyle w:val="NoSpacing"/>
        <w:numPr>
          <w:ilvl w:val="0"/>
          <w:numId w:val="16"/>
        </w:numPr>
        <w:jc w:val="both"/>
        <w:rPr>
          <w:lang w:eastAsia="en-GB"/>
        </w:rPr>
      </w:pPr>
      <w:r w:rsidRPr="007C6FD9">
        <w:rPr>
          <w:lang w:eastAsia="en-GB"/>
        </w:rPr>
        <w:t>Health and Safety at Work Act 1974: This requires employers (and those responsible for premises) to ensure the safety of employees, visitors, and users of their premises.</w:t>
      </w:r>
    </w:p>
    <w:p w:rsidRPr="007C6FD9" w:rsidR="007C6FD9" w:rsidP="00165FCC" w:rsidRDefault="007C6FD9" w14:paraId="062956DE" w14:textId="77777777">
      <w:pPr>
        <w:pStyle w:val="NoSpacing"/>
        <w:numPr>
          <w:ilvl w:val="0"/>
          <w:numId w:val="16"/>
        </w:numPr>
        <w:jc w:val="both"/>
        <w:rPr>
          <w:lang w:eastAsia="en-GB"/>
        </w:rPr>
      </w:pPr>
      <w:r w:rsidRPr="007C6FD9">
        <w:rPr>
          <w:lang w:eastAsia="en-GB"/>
        </w:rPr>
        <w:t>The Regulatory Reform (Fire Safety) Order 2005: This sets out responsibilities for fire safety in non-domestic premises, including school buildings.</w:t>
      </w:r>
    </w:p>
    <w:p w:rsidRPr="007C6FD9" w:rsidR="007C6FD9" w:rsidP="00165FCC" w:rsidRDefault="007C6FD9" w14:paraId="7AF64555" w14:textId="77777777">
      <w:pPr>
        <w:pStyle w:val="NoSpacing"/>
        <w:numPr>
          <w:ilvl w:val="0"/>
          <w:numId w:val="16"/>
        </w:numPr>
        <w:jc w:val="both"/>
        <w:rPr>
          <w:lang w:eastAsia="en-GB"/>
        </w:rPr>
      </w:pPr>
      <w:r w:rsidRPr="007C6FD9">
        <w:rPr>
          <w:lang w:eastAsia="en-GB"/>
        </w:rPr>
        <w:t>The Children Act 1989 and 2004: These outline the responsibilities for safeguarding children and ensuring their welfare.</w:t>
      </w:r>
    </w:p>
    <w:p w:rsidR="00566AC1" w:rsidP="00165FCC" w:rsidRDefault="007C6FD9" w14:paraId="0B60D358" w14:textId="77777777">
      <w:pPr>
        <w:pStyle w:val="NoSpacing"/>
        <w:numPr>
          <w:ilvl w:val="0"/>
          <w:numId w:val="16"/>
        </w:numPr>
        <w:jc w:val="both"/>
        <w:rPr>
          <w:lang w:eastAsia="en-GB"/>
        </w:rPr>
      </w:pPr>
      <w:r w:rsidRPr="007C6FD9">
        <w:rPr>
          <w:lang w:eastAsia="en-GB"/>
        </w:rPr>
        <w:lastRenderedPageBreak/>
        <w:t>Equality Act 2010: This ensures that all lettings are accessible and non-discriminatory.</w:t>
      </w:r>
      <w:r w:rsidRPr="00566AC1" w:rsidR="00566AC1">
        <w:rPr>
          <w:lang w:eastAsia="en-GB"/>
        </w:rPr>
        <w:t xml:space="preserve"> </w:t>
      </w:r>
    </w:p>
    <w:p w:rsidR="007C6FD9" w:rsidP="00165FCC" w:rsidRDefault="00566AC1" w14:paraId="1AD0A3E2" w14:textId="58E1AFC8">
      <w:pPr>
        <w:pStyle w:val="NoSpacing"/>
        <w:numPr>
          <w:ilvl w:val="0"/>
          <w:numId w:val="16"/>
        </w:numPr>
        <w:jc w:val="both"/>
        <w:rPr>
          <w:lang w:eastAsia="en-GB"/>
        </w:rPr>
      </w:pPr>
      <w:r w:rsidRPr="007C6FD9">
        <w:rPr>
          <w:lang w:eastAsia="en-GB"/>
        </w:rPr>
        <w:t>Keeping Children Safe in Education</w:t>
      </w:r>
      <w:r>
        <w:rPr>
          <w:lang w:eastAsia="en-GB"/>
        </w:rPr>
        <w:t xml:space="preserve"> 2024</w:t>
      </w:r>
      <w:r w:rsidRPr="007C6FD9">
        <w:rPr>
          <w:lang w:eastAsia="en-GB"/>
        </w:rPr>
        <w:t>: This provides statutory guidance for schools and colleges on safeguarding and promoting the welfare of children.</w:t>
      </w:r>
    </w:p>
    <w:p w:rsidRPr="007C6FD9" w:rsidR="00FA0073" w:rsidP="00165FCC" w:rsidRDefault="00FA0073" w14:paraId="3E577A15" w14:textId="77777777">
      <w:pPr>
        <w:pStyle w:val="NoSpacing"/>
        <w:ind w:left="720"/>
        <w:jc w:val="both"/>
        <w:rPr>
          <w:lang w:eastAsia="en-GB"/>
        </w:rPr>
      </w:pPr>
    </w:p>
    <w:p w:rsidRPr="00E9681B" w:rsidR="007C6FD9" w:rsidP="00165FCC" w:rsidRDefault="007C6FD9" w14:paraId="16EE909F" w14:textId="6E12EA57">
      <w:pPr>
        <w:pStyle w:val="NoSpacing"/>
        <w:jc w:val="both"/>
        <w:rPr>
          <w:b/>
          <w:bCs/>
          <w:lang w:eastAsia="en-GB"/>
        </w:rPr>
      </w:pPr>
      <w:r w:rsidRPr="00E9681B">
        <w:rPr>
          <w:b/>
          <w:bCs/>
          <w:lang w:eastAsia="en-GB"/>
        </w:rPr>
        <w:t>4. Safeguarding</w:t>
      </w:r>
    </w:p>
    <w:p w:rsidRPr="007C6FD9" w:rsidR="007C6FD9" w:rsidP="00165FCC" w:rsidRDefault="007C6FD9" w14:paraId="592EEED7" w14:textId="1487760C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t xml:space="preserve">Safeguarding is a fundamental priority in all </w:t>
      </w:r>
      <w:r w:rsidR="00871D47">
        <w:rPr>
          <w:lang w:eastAsia="en-GB"/>
        </w:rPr>
        <w:t>Trust</w:t>
      </w:r>
      <w:r w:rsidRPr="007C6FD9">
        <w:rPr>
          <w:lang w:eastAsia="en-GB"/>
        </w:rPr>
        <w:t xml:space="preserve"> operations. Hirers of school premises must:</w:t>
      </w:r>
    </w:p>
    <w:p w:rsidRPr="007C6FD9" w:rsidR="007C6FD9" w:rsidP="00165FCC" w:rsidRDefault="007C6FD9" w14:paraId="788D8817" w14:textId="08178C9E">
      <w:pPr>
        <w:pStyle w:val="NoSpacing"/>
        <w:numPr>
          <w:ilvl w:val="0"/>
          <w:numId w:val="17"/>
        </w:numPr>
        <w:jc w:val="both"/>
        <w:rPr>
          <w:lang w:eastAsia="en-GB"/>
        </w:rPr>
      </w:pPr>
      <w:r w:rsidRPr="007C6FD9">
        <w:rPr>
          <w:lang w:eastAsia="en-GB"/>
        </w:rPr>
        <w:t>Provide evidence of their safeguarding policy</w:t>
      </w:r>
      <w:r w:rsidR="0096716A">
        <w:rPr>
          <w:lang w:eastAsia="en-GB"/>
        </w:rPr>
        <w:t xml:space="preserve">/processes </w:t>
      </w:r>
      <w:r w:rsidRPr="007C6FD9">
        <w:rPr>
          <w:lang w:eastAsia="en-GB"/>
        </w:rPr>
        <w:t>(if applicable) before any agreement is made. This is especially important for organisations working with children or vulnerable adults.</w:t>
      </w:r>
      <w:r w:rsidR="001966D6">
        <w:rPr>
          <w:lang w:eastAsia="en-GB"/>
        </w:rPr>
        <w:t xml:space="preserve"> This includes providing proof of ID</w:t>
      </w:r>
      <w:r w:rsidR="00871D47">
        <w:rPr>
          <w:lang w:eastAsia="en-GB"/>
        </w:rPr>
        <w:t xml:space="preserve">, address and contact number. </w:t>
      </w:r>
    </w:p>
    <w:p w:rsidRPr="007C6FD9" w:rsidR="007C6FD9" w:rsidP="00165FCC" w:rsidRDefault="007C6FD9" w14:paraId="68AAE053" w14:textId="77777777">
      <w:pPr>
        <w:pStyle w:val="NoSpacing"/>
        <w:numPr>
          <w:ilvl w:val="0"/>
          <w:numId w:val="17"/>
        </w:numPr>
        <w:jc w:val="both"/>
        <w:rPr>
          <w:lang w:eastAsia="en-GB"/>
        </w:rPr>
      </w:pPr>
      <w:r w:rsidRPr="007C6FD9">
        <w:rPr>
          <w:lang w:eastAsia="en-GB"/>
        </w:rPr>
        <w:t>Ensure that all adults involved in activities with children or vulnerable adults during the hire have undergone appropriate Disclosure and Barring Service (DBS) checks.</w:t>
      </w:r>
    </w:p>
    <w:p w:rsidRPr="007C6FD9" w:rsidR="007C6FD9" w:rsidP="00165FCC" w:rsidRDefault="007C6FD9" w14:paraId="7E6CC7A9" w14:textId="77777777">
      <w:pPr>
        <w:pStyle w:val="NoSpacing"/>
        <w:numPr>
          <w:ilvl w:val="0"/>
          <w:numId w:val="17"/>
        </w:numPr>
        <w:jc w:val="both"/>
        <w:rPr>
          <w:lang w:eastAsia="en-GB"/>
        </w:rPr>
      </w:pPr>
      <w:r w:rsidRPr="007C6FD9">
        <w:rPr>
          <w:lang w:eastAsia="en-GB"/>
        </w:rPr>
        <w:t>Ensure appropriate supervision ratios are in place for all children or vulnerable adults, as per statutory guidance.</w:t>
      </w:r>
    </w:p>
    <w:p w:rsidRPr="007C6FD9" w:rsidR="007C6FD9" w:rsidP="00165FCC" w:rsidRDefault="007C6FD9" w14:paraId="2E3493BC" w14:textId="69AD1849">
      <w:pPr>
        <w:pStyle w:val="NoSpacing"/>
        <w:numPr>
          <w:ilvl w:val="0"/>
          <w:numId w:val="17"/>
        </w:numPr>
        <w:jc w:val="both"/>
        <w:rPr>
          <w:lang w:eastAsia="en-GB"/>
        </w:rPr>
      </w:pPr>
      <w:r w:rsidRPr="007C6FD9">
        <w:rPr>
          <w:lang w:eastAsia="en-GB"/>
        </w:rPr>
        <w:t xml:space="preserve">Report any safeguarding concerns immediately to the school’s Designated Safeguarding Lead (DSL), whose contact details will be provided in the </w:t>
      </w:r>
      <w:r w:rsidR="00871D47">
        <w:rPr>
          <w:lang w:eastAsia="en-GB"/>
        </w:rPr>
        <w:t xml:space="preserve">individual schools </w:t>
      </w:r>
      <w:r w:rsidRPr="007C6FD9">
        <w:rPr>
          <w:lang w:eastAsia="en-GB"/>
        </w:rPr>
        <w:t>hire agreement.</w:t>
      </w:r>
    </w:p>
    <w:p w:rsidR="006317DC" w:rsidP="00165FCC" w:rsidRDefault="006317DC" w14:paraId="6280D81E" w14:textId="77777777">
      <w:pPr>
        <w:pStyle w:val="NoSpacing"/>
        <w:jc w:val="both"/>
        <w:rPr>
          <w:lang w:eastAsia="en-GB"/>
        </w:rPr>
      </w:pPr>
    </w:p>
    <w:p w:rsidR="007C6FD9" w:rsidP="00165FCC" w:rsidRDefault="007C6FD9" w14:paraId="32145828" w14:textId="695AFBF5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t>Failure to meet safeguarding requirements will result in the immediate termination of the hire agreement.</w:t>
      </w:r>
    </w:p>
    <w:p w:rsidRPr="007C6FD9" w:rsidR="00E9681B" w:rsidP="00165FCC" w:rsidRDefault="00E9681B" w14:paraId="039EFEBE" w14:textId="77777777">
      <w:pPr>
        <w:pStyle w:val="NoSpacing"/>
        <w:jc w:val="both"/>
        <w:rPr>
          <w:lang w:eastAsia="en-GB"/>
        </w:rPr>
      </w:pPr>
    </w:p>
    <w:p w:rsidRPr="00E9681B" w:rsidR="007C6FD9" w:rsidP="00165FCC" w:rsidRDefault="007C6FD9" w14:paraId="5186CD99" w14:textId="77777777">
      <w:pPr>
        <w:pStyle w:val="NoSpacing"/>
        <w:jc w:val="both"/>
        <w:rPr>
          <w:b/>
          <w:bCs/>
          <w:lang w:eastAsia="en-GB"/>
        </w:rPr>
      </w:pPr>
      <w:r w:rsidRPr="00E9681B">
        <w:rPr>
          <w:b/>
          <w:bCs/>
          <w:lang w:eastAsia="en-GB"/>
        </w:rPr>
        <w:t>5. Health and Safety Considerations</w:t>
      </w:r>
    </w:p>
    <w:p w:rsidRPr="007C6FD9" w:rsidR="007C6FD9" w:rsidP="00165FCC" w:rsidRDefault="007C6FD9" w14:paraId="3B8A42F8" w14:textId="13077B2C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t xml:space="preserve">The </w:t>
      </w:r>
      <w:r w:rsidR="00871D47">
        <w:rPr>
          <w:lang w:eastAsia="en-GB"/>
        </w:rPr>
        <w:t>Trust</w:t>
      </w:r>
      <w:r w:rsidRPr="007C6FD9">
        <w:rPr>
          <w:lang w:eastAsia="en-GB"/>
        </w:rPr>
        <w:t xml:space="preserve"> is committed to ensuring the health, safety, and well-being of all individuals on its premises, including during lettings. All hirers must:</w:t>
      </w:r>
    </w:p>
    <w:p w:rsidRPr="007C6FD9" w:rsidR="007C6FD9" w:rsidP="00165FCC" w:rsidRDefault="007C6FD9" w14:paraId="4237FC82" w14:textId="46226068">
      <w:pPr>
        <w:pStyle w:val="NoSpacing"/>
        <w:numPr>
          <w:ilvl w:val="0"/>
          <w:numId w:val="18"/>
        </w:numPr>
        <w:jc w:val="both"/>
        <w:rPr>
          <w:lang w:eastAsia="en-GB"/>
        </w:rPr>
      </w:pPr>
      <w:r w:rsidRPr="007C6FD9">
        <w:rPr>
          <w:lang w:eastAsia="en-GB"/>
        </w:rPr>
        <w:t xml:space="preserve">Comply with the </w:t>
      </w:r>
      <w:r w:rsidR="000C5F63">
        <w:rPr>
          <w:lang w:eastAsia="en-GB"/>
        </w:rPr>
        <w:t xml:space="preserve">individual </w:t>
      </w:r>
      <w:r w:rsidRPr="007C6FD9">
        <w:rPr>
          <w:lang w:eastAsia="en-GB"/>
        </w:rPr>
        <w:t>school’s Health and Safety Policy, which will be shared prior to the hire period.</w:t>
      </w:r>
    </w:p>
    <w:p w:rsidRPr="007C6FD9" w:rsidR="007C6FD9" w:rsidP="00165FCC" w:rsidRDefault="007C6FD9" w14:paraId="78DEEDF3" w14:textId="77777777">
      <w:pPr>
        <w:pStyle w:val="NoSpacing"/>
        <w:numPr>
          <w:ilvl w:val="0"/>
          <w:numId w:val="18"/>
        </w:numPr>
        <w:jc w:val="both"/>
        <w:rPr>
          <w:lang w:eastAsia="en-GB"/>
        </w:rPr>
      </w:pPr>
      <w:r w:rsidRPr="007C6FD9">
        <w:rPr>
          <w:lang w:eastAsia="en-GB"/>
        </w:rPr>
        <w:t>Ensure that all participants using the premises are aware of health and safety procedures, including first aid provisions, fire safety, and emergency evacuation routes.</w:t>
      </w:r>
    </w:p>
    <w:p w:rsidRPr="007C6FD9" w:rsidR="007C6FD9" w:rsidP="00165FCC" w:rsidRDefault="007C6FD9" w14:paraId="1B5B849B" w14:textId="77777777">
      <w:pPr>
        <w:pStyle w:val="NoSpacing"/>
        <w:numPr>
          <w:ilvl w:val="0"/>
          <w:numId w:val="18"/>
        </w:numPr>
        <w:jc w:val="both"/>
        <w:rPr>
          <w:lang w:eastAsia="en-GB"/>
        </w:rPr>
      </w:pPr>
      <w:r w:rsidRPr="007C6FD9">
        <w:rPr>
          <w:lang w:eastAsia="en-GB"/>
        </w:rPr>
        <w:t>Ensure that any equipment brought onto the premises is in safe working condition and meets all required safety standards. Electrical equipment must be PAT tested.</w:t>
      </w:r>
    </w:p>
    <w:p w:rsidRPr="007C6FD9" w:rsidR="007C6FD9" w:rsidP="00165FCC" w:rsidRDefault="007C6FD9" w14:paraId="20FAF591" w14:textId="77777777">
      <w:pPr>
        <w:pStyle w:val="NoSpacing"/>
        <w:numPr>
          <w:ilvl w:val="0"/>
          <w:numId w:val="18"/>
        </w:numPr>
        <w:jc w:val="both"/>
        <w:rPr>
          <w:lang w:eastAsia="en-GB"/>
        </w:rPr>
      </w:pPr>
      <w:r w:rsidRPr="007C6FD9">
        <w:rPr>
          <w:lang w:eastAsia="en-GB"/>
        </w:rPr>
        <w:t>Notify the school immediately of any damage to the premises, hazards, or incidents that occur during the hire period.</w:t>
      </w:r>
    </w:p>
    <w:p w:rsidR="006317DC" w:rsidP="00165FCC" w:rsidRDefault="006317DC" w14:paraId="3326E5AB" w14:textId="77777777">
      <w:pPr>
        <w:pStyle w:val="NoSpacing"/>
        <w:jc w:val="both"/>
        <w:rPr>
          <w:sz w:val="27"/>
          <w:szCs w:val="27"/>
          <w:lang w:eastAsia="en-GB"/>
        </w:rPr>
      </w:pPr>
    </w:p>
    <w:p w:rsidRPr="006317DC" w:rsidR="007C6FD9" w:rsidP="00165FCC" w:rsidRDefault="007C6FD9" w14:paraId="56AB8B8C" w14:textId="40E88443">
      <w:pPr>
        <w:pStyle w:val="NoSpacing"/>
        <w:jc w:val="both"/>
        <w:rPr>
          <w:u w:val="single"/>
        </w:rPr>
      </w:pPr>
      <w:r w:rsidRPr="006317DC">
        <w:rPr>
          <w:u w:val="single"/>
        </w:rPr>
        <w:t>Fire Safety</w:t>
      </w:r>
    </w:p>
    <w:p w:rsidRPr="007C6FD9" w:rsidR="007C6FD9" w:rsidP="00165FCC" w:rsidRDefault="007C6FD9" w14:paraId="0E156BD4" w14:textId="77777777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t>Hirers must:</w:t>
      </w:r>
    </w:p>
    <w:p w:rsidRPr="007C6FD9" w:rsidR="007C6FD9" w:rsidP="00165FCC" w:rsidRDefault="007C6FD9" w14:paraId="66D6620E" w14:textId="77777777">
      <w:pPr>
        <w:pStyle w:val="NoSpacing"/>
        <w:numPr>
          <w:ilvl w:val="0"/>
          <w:numId w:val="19"/>
        </w:numPr>
        <w:jc w:val="both"/>
        <w:rPr>
          <w:lang w:eastAsia="en-GB"/>
        </w:rPr>
      </w:pPr>
      <w:r w:rsidRPr="007C6FD9">
        <w:rPr>
          <w:lang w:eastAsia="en-GB"/>
        </w:rPr>
        <w:t>Be familiar with the school’s fire safety procedures, including fire exit locations, the nearest fire assembly points, and the use of fire alarms and extinguishers.</w:t>
      </w:r>
    </w:p>
    <w:p w:rsidRPr="007C6FD9" w:rsidR="007C6FD9" w:rsidP="00165FCC" w:rsidRDefault="007C6FD9" w14:paraId="497C9C36" w14:textId="54D6229D">
      <w:pPr>
        <w:pStyle w:val="NoSpacing"/>
        <w:numPr>
          <w:ilvl w:val="0"/>
          <w:numId w:val="19"/>
        </w:numPr>
        <w:jc w:val="both"/>
        <w:rPr>
          <w:lang w:eastAsia="en-GB"/>
        </w:rPr>
      </w:pPr>
      <w:r w:rsidRPr="007C6FD9">
        <w:rPr>
          <w:lang w:eastAsia="en-GB"/>
        </w:rPr>
        <w:t>Conduct a roll call at the assembly</w:t>
      </w:r>
      <w:r w:rsidR="00D64F34">
        <w:rPr>
          <w:lang w:eastAsia="en-GB"/>
        </w:rPr>
        <w:t>/muster</w:t>
      </w:r>
      <w:r w:rsidRPr="007C6FD9">
        <w:rPr>
          <w:lang w:eastAsia="en-GB"/>
        </w:rPr>
        <w:t xml:space="preserve"> point to ensure all participants have evacuated the building in case of fire.</w:t>
      </w:r>
    </w:p>
    <w:p w:rsidRPr="007C6FD9" w:rsidR="007C6FD9" w:rsidP="00165FCC" w:rsidRDefault="007C6FD9" w14:paraId="4C819763" w14:textId="77777777">
      <w:pPr>
        <w:pStyle w:val="NoSpacing"/>
        <w:numPr>
          <w:ilvl w:val="0"/>
          <w:numId w:val="19"/>
        </w:numPr>
        <w:jc w:val="both"/>
        <w:rPr>
          <w:lang w:eastAsia="en-GB"/>
        </w:rPr>
      </w:pPr>
      <w:r w:rsidRPr="007C6FD9">
        <w:rPr>
          <w:lang w:eastAsia="en-GB"/>
        </w:rPr>
        <w:t>Ensure no fire exits are obstructed during the hire period.</w:t>
      </w:r>
    </w:p>
    <w:p w:rsidRPr="007C6FD9" w:rsidR="007C6FD9" w:rsidP="00165FCC" w:rsidRDefault="007C6FD9" w14:paraId="22998DA7" w14:textId="77777777">
      <w:pPr>
        <w:pStyle w:val="NoSpacing"/>
        <w:numPr>
          <w:ilvl w:val="0"/>
          <w:numId w:val="19"/>
        </w:numPr>
        <w:jc w:val="both"/>
        <w:rPr>
          <w:lang w:eastAsia="en-GB"/>
        </w:rPr>
      </w:pPr>
      <w:r w:rsidRPr="007C6FD9">
        <w:rPr>
          <w:lang w:eastAsia="en-GB"/>
        </w:rPr>
        <w:t>Report any fire safety issues or concerns to the school immediately.</w:t>
      </w:r>
    </w:p>
    <w:p w:rsidR="006317DC" w:rsidP="00165FCC" w:rsidRDefault="006317DC" w14:paraId="5B00F3CC" w14:textId="77777777">
      <w:pPr>
        <w:pStyle w:val="NoSpacing"/>
        <w:jc w:val="both"/>
        <w:rPr>
          <w:lang w:eastAsia="en-GB"/>
        </w:rPr>
      </w:pPr>
    </w:p>
    <w:p w:rsidR="007C6FD9" w:rsidP="00165FCC" w:rsidRDefault="007C6FD9" w14:paraId="77DC0D97" w14:textId="6521C149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lastRenderedPageBreak/>
        <w:t>Failure to comply with fire safety regulations will result in the cancellation of the letting without notice.</w:t>
      </w:r>
    </w:p>
    <w:p w:rsidRPr="007C6FD9" w:rsidR="00772AF8" w:rsidP="00165FCC" w:rsidRDefault="00772AF8" w14:paraId="7A4409DA" w14:textId="77777777">
      <w:pPr>
        <w:pStyle w:val="NoSpacing"/>
        <w:jc w:val="both"/>
        <w:rPr>
          <w:lang w:eastAsia="en-GB"/>
        </w:rPr>
      </w:pPr>
    </w:p>
    <w:p w:rsidRPr="00E9681B" w:rsidR="007C6FD9" w:rsidP="00165FCC" w:rsidRDefault="007C6FD9" w14:paraId="50025676" w14:textId="059F7F17">
      <w:pPr>
        <w:pStyle w:val="NoSpacing"/>
        <w:jc w:val="both"/>
        <w:rPr>
          <w:b/>
          <w:bCs/>
          <w:lang w:eastAsia="en-GB"/>
        </w:rPr>
      </w:pPr>
      <w:r w:rsidRPr="00E9681B">
        <w:rPr>
          <w:b/>
          <w:bCs/>
          <w:lang w:eastAsia="en-GB"/>
        </w:rPr>
        <w:t>6. Types of Hire</w:t>
      </w:r>
    </w:p>
    <w:p w:rsidRPr="007C6FD9" w:rsidR="007C6FD9" w:rsidP="00165FCC" w:rsidRDefault="00D64F34" w14:paraId="04BBC968" w14:textId="08958231">
      <w:pPr>
        <w:pStyle w:val="NoSpacing"/>
        <w:jc w:val="both"/>
        <w:rPr>
          <w:lang w:eastAsia="en-GB"/>
        </w:rPr>
      </w:pPr>
      <w:r>
        <w:rPr>
          <w:lang w:eastAsia="en-GB"/>
        </w:rPr>
        <w:t xml:space="preserve">Across the </w:t>
      </w:r>
      <w:r w:rsidR="00871D47">
        <w:rPr>
          <w:lang w:eastAsia="en-GB"/>
        </w:rPr>
        <w:t>Trust</w:t>
      </w:r>
      <w:r>
        <w:rPr>
          <w:lang w:eastAsia="en-GB"/>
        </w:rPr>
        <w:t xml:space="preserve">, we have a variety of rooms/facilities </w:t>
      </w:r>
      <w:r w:rsidRPr="007C6FD9" w:rsidR="007C6FD9">
        <w:rPr>
          <w:lang w:eastAsia="en-GB"/>
        </w:rPr>
        <w:t>available for hire:</w:t>
      </w:r>
    </w:p>
    <w:p w:rsidRPr="007C6FD9" w:rsidR="007C6FD9" w:rsidP="00165FCC" w:rsidRDefault="007C6FD9" w14:paraId="332A5AC5" w14:textId="77777777">
      <w:pPr>
        <w:pStyle w:val="NoSpacing"/>
        <w:numPr>
          <w:ilvl w:val="0"/>
          <w:numId w:val="20"/>
        </w:numPr>
        <w:jc w:val="both"/>
        <w:rPr>
          <w:lang w:eastAsia="en-GB"/>
        </w:rPr>
      </w:pPr>
      <w:r w:rsidRPr="007C6FD9">
        <w:rPr>
          <w:lang w:eastAsia="en-GB"/>
        </w:rPr>
        <w:t>Sports Hall: Suitable for sports activities, large events, fitness classes, and group activities.</w:t>
      </w:r>
    </w:p>
    <w:p w:rsidRPr="007C6FD9" w:rsidR="007C6FD9" w:rsidP="00165FCC" w:rsidRDefault="007C6FD9" w14:paraId="7AE9160C" w14:textId="77777777">
      <w:pPr>
        <w:pStyle w:val="NoSpacing"/>
        <w:numPr>
          <w:ilvl w:val="0"/>
          <w:numId w:val="20"/>
        </w:numPr>
        <w:jc w:val="both"/>
        <w:rPr>
          <w:lang w:eastAsia="en-GB"/>
        </w:rPr>
      </w:pPr>
      <w:r w:rsidRPr="007C6FD9">
        <w:rPr>
          <w:lang w:eastAsia="en-GB"/>
        </w:rPr>
        <w:t>Classrooms: Suitable for meetings, study groups, tutoring, and small workshops.</w:t>
      </w:r>
    </w:p>
    <w:p w:rsidRPr="007C6FD9" w:rsidR="007C6FD9" w:rsidP="00165FCC" w:rsidRDefault="007C6FD9" w14:paraId="5AFFCC6F" w14:textId="77777777">
      <w:pPr>
        <w:pStyle w:val="NoSpacing"/>
        <w:numPr>
          <w:ilvl w:val="0"/>
          <w:numId w:val="20"/>
        </w:numPr>
        <w:jc w:val="both"/>
        <w:rPr>
          <w:lang w:eastAsia="en-GB"/>
        </w:rPr>
      </w:pPr>
      <w:r w:rsidRPr="007C6FD9">
        <w:rPr>
          <w:lang w:eastAsia="en-GB"/>
        </w:rPr>
        <w:t>Sports Fields: Suitable for outdoor sports, team games, and community events.</w:t>
      </w:r>
    </w:p>
    <w:p w:rsidRPr="007C6FD9" w:rsidR="007C6FD9" w:rsidP="00165FCC" w:rsidRDefault="007C6FD9" w14:paraId="2252A4C1" w14:textId="77777777">
      <w:pPr>
        <w:pStyle w:val="NoSpacing"/>
        <w:numPr>
          <w:ilvl w:val="0"/>
          <w:numId w:val="20"/>
        </w:numPr>
        <w:jc w:val="both"/>
        <w:rPr>
          <w:lang w:eastAsia="en-GB"/>
        </w:rPr>
      </w:pPr>
      <w:r w:rsidRPr="007C6FD9">
        <w:rPr>
          <w:lang w:eastAsia="en-GB"/>
        </w:rPr>
        <w:t>Assembly Halls/Dining Rooms: Suitable for larger meetings, community events, performances, and presentations.</w:t>
      </w:r>
    </w:p>
    <w:p w:rsidRPr="007C6FD9" w:rsidR="007C6FD9" w:rsidP="00165FCC" w:rsidRDefault="007C6FD9" w14:paraId="7A90857B" w14:textId="77777777">
      <w:pPr>
        <w:pStyle w:val="NoSpacing"/>
        <w:numPr>
          <w:ilvl w:val="0"/>
          <w:numId w:val="20"/>
        </w:numPr>
        <w:jc w:val="both"/>
        <w:rPr>
          <w:lang w:eastAsia="en-GB"/>
        </w:rPr>
      </w:pPr>
      <w:r w:rsidRPr="007C6FD9">
        <w:rPr>
          <w:lang w:eastAsia="en-GB"/>
        </w:rPr>
        <w:t>Schools may offer additional spaces specific to their sites, and each school will maintain an up-to-date list of available rooms with their respective capacity limits.</w:t>
      </w:r>
    </w:p>
    <w:p w:rsidR="00E9681B" w:rsidP="00165FCC" w:rsidRDefault="00E9681B" w14:paraId="0D531A2B" w14:textId="77777777">
      <w:pPr>
        <w:pStyle w:val="NoSpacing"/>
        <w:jc w:val="both"/>
        <w:rPr>
          <w:lang w:eastAsia="en-GB"/>
        </w:rPr>
      </w:pPr>
    </w:p>
    <w:p w:rsidRPr="00E9681B" w:rsidR="007C6FD9" w:rsidP="00165FCC" w:rsidRDefault="007C6FD9" w14:paraId="155DA67D" w14:textId="43437101">
      <w:pPr>
        <w:pStyle w:val="NoSpacing"/>
        <w:jc w:val="both"/>
        <w:rPr>
          <w:b/>
          <w:bCs/>
          <w:lang w:eastAsia="en-GB"/>
        </w:rPr>
      </w:pPr>
      <w:r w:rsidRPr="00E9681B">
        <w:rPr>
          <w:b/>
          <w:bCs/>
          <w:lang w:eastAsia="en-GB"/>
        </w:rPr>
        <w:t>7. Conditions of Hire</w:t>
      </w:r>
    </w:p>
    <w:p w:rsidRPr="007C6FD9" w:rsidR="007C6FD9" w:rsidP="00165FCC" w:rsidRDefault="007C6FD9" w14:paraId="44C8C4FA" w14:textId="77777777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t>All bookings must comply with the following conditions:</w:t>
      </w:r>
    </w:p>
    <w:p w:rsidRPr="007C6FD9" w:rsidR="007C6FD9" w:rsidP="00165FCC" w:rsidRDefault="007C6FD9" w14:paraId="6539942B" w14:textId="7B38F4D1">
      <w:pPr>
        <w:pStyle w:val="NoSpacing"/>
        <w:numPr>
          <w:ilvl w:val="0"/>
          <w:numId w:val="21"/>
        </w:numPr>
        <w:jc w:val="both"/>
        <w:rPr>
          <w:lang w:eastAsia="en-GB"/>
        </w:rPr>
      </w:pPr>
      <w:r w:rsidRPr="007C6FD9">
        <w:rPr>
          <w:lang w:eastAsia="en-GB"/>
        </w:rPr>
        <w:t xml:space="preserve">Completion of </w:t>
      </w:r>
      <w:r w:rsidR="00D64F34">
        <w:rPr>
          <w:lang w:eastAsia="en-GB"/>
        </w:rPr>
        <w:t xml:space="preserve">School </w:t>
      </w:r>
      <w:r w:rsidRPr="007C6FD9">
        <w:rPr>
          <w:lang w:eastAsia="en-GB"/>
        </w:rPr>
        <w:t>Lettings</w:t>
      </w:r>
      <w:r w:rsidR="00D64F34">
        <w:rPr>
          <w:lang w:eastAsia="en-GB"/>
        </w:rPr>
        <w:t>/Hire</w:t>
      </w:r>
      <w:r w:rsidRPr="007C6FD9">
        <w:rPr>
          <w:lang w:eastAsia="en-GB"/>
        </w:rPr>
        <w:t xml:space="preserve"> Agreement: Hirers must sign a Lettings</w:t>
      </w:r>
      <w:r w:rsidR="00D02CE9">
        <w:rPr>
          <w:lang w:eastAsia="en-GB"/>
        </w:rPr>
        <w:t>/Hire</w:t>
      </w:r>
      <w:r w:rsidRPr="007C6FD9">
        <w:rPr>
          <w:lang w:eastAsia="en-GB"/>
        </w:rPr>
        <w:t xml:space="preserve"> Agreement that outlines the terms and conditions</w:t>
      </w:r>
      <w:r w:rsidR="00883A89">
        <w:rPr>
          <w:lang w:eastAsia="en-GB"/>
        </w:rPr>
        <w:t xml:space="preserve"> and processes</w:t>
      </w:r>
      <w:r w:rsidRPr="007C6FD9">
        <w:rPr>
          <w:lang w:eastAsia="en-GB"/>
        </w:rPr>
        <w:t xml:space="preserve"> of the hire, including a requirement to comply with all school policies.</w:t>
      </w:r>
    </w:p>
    <w:p w:rsidRPr="007C6FD9" w:rsidR="007C6FD9" w:rsidP="00165FCC" w:rsidRDefault="007C6FD9" w14:paraId="6CF61E4B" w14:textId="399A8E03">
      <w:pPr>
        <w:pStyle w:val="NoSpacing"/>
        <w:numPr>
          <w:ilvl w:val="0"/>
          <w:numId w:val="21"/>
        </w:numPr>
        <w:jc w:val="both"/>
        <w:rPr>
          <w:lang w:eastAsia="en-GB"/>
        </w:rPr>
      </w:pPr>
      <w:r w:rsidRPr="007C6FD9">
        <w:rPr>
          <w:lang w:eastAsia="en-GB"/>
        </w:rPr>
        <w:t xml:space="preserve">Insurance: Hirers must provide evidence of Public Liability Insurance with a minimum cover of £5 million. </w:t>
      </w:r>
    </w:p>
    <w:p w:rsidRPr="007C6FD9" w:rsidR="007C6FD9" w:rsidP="00165FCC" w:rsidRDefault="007C6FD9" w14:paraId="38F519EF" w14:textId="77777777">
      <w:pPr>
        <w:pStyle w:val="NoSpacing"/>
        <w:numPr>
          <w:ilvl w:val="0"/>
          <w:numId w:val="21"/>
        </w:numPr>
        <w:jc w:val="both"/>
        <w:rPr>
          <w:lang w:eastAsia="en-GB"/>
        </w:rPr>
      </w:pPr>
      <w:r w:rsidRPr="007C6FD9">
        <w:rPr>
          <w:lang w:eastAsia="en-GB"/>
        </w:rPr>
        <w:t>Damage and Cleaning: The premises must be left clean and in the condition in which they were found. Any damage must be reported immediately and may result in additional charges.</w:t>
      </w:r>
    </w:p>
    <w:p w:rsidRPr="007C6FD9" w:rsidR="007C6FD9" w:rsidP="00165FCC" w:rsidRDefault="007C6FD9" w14:paraId="2DF0B4E0" w14:textId="2E6F6912">
      <w:pPr>
        <w:pStyle w:val="NoSpacing"/>
        <w:numPr>
          <w:ilvl w:val="0"/>
          <w:numId w:val="21"/>
        </w:numPr>
        <w:jc w:val="both"/>
        <w:rPr>
          <w:lang w:eastAsia="en-GB"/>
        </w:rPr>
      </w:pPr>
      <w:r w:rsidRPr="007C6FD9">
        <w:rPr>
          <w:lang w:eastAsia="en-GB"/>
        </w:rPr>
        <w:t>Supervision: Hirers are responsible for the conduct and supervision of all attendees. Schools will not provide supervision or staff</w:t>
      </w:r>
      <w:r w:rsidR="00D64F34">
        <w:rPr>
          <w:lang w:eastAsia="en-GB"/>
        </w:rPr>
        <w:t xml:space="preserve">. </w:t>
      </w:r>
    </w:p>
    <w:p w:rsidRPr="007C6FD9" w:rsidR="007C6FD9" w:rsidP="00165FCC" w:rsidRDefault="007C6FD9" w14:paraId="0657C10E" w14:textId="15407025">
      <w:pPr>
        <w:pStyle w:val="NoSpacing"/>
        <w:numPr>
          <w:ilvl w:val="0"/>
          <w:numId w:val="21"/>
        </w:numPr>
        <w:jc w:val="both"/>
        <w:rPr>
          <w:lang w:eastAsia="en-GB"/>
        </w:rPr>
      </w:pPr>
      <w:r w:rsidRPr="007C6FD9">
        <w:rPr>
          <w:lang w:eastAsia="en-GB"/>
        </w:rPr>
        <w:t xml:space="preserve">Alcohol and Smoking: No alcohol or smoking is permitted on </w:t>
      </w:r>
      <w:r w:rsidR="00D64F34">
        <w:rPr>
          <w:lang w:eastAsia="en-GB"/>
        </w:rPr>
        <w:t xml:space="preserve">any </w:t>
      </w:r>
      <w:r w:rsidRPr="007C6FD9">
        <w:rPr>
          <w:lang w:eastAsia="en-GB"/>
        </w:rPr>
        <w:t>school premises</w:t>
      </w:r>
      <w:r w:rsidR="00D64F34">
        <w:rPr>
          <w:lang w:eastAsia="en-GB"/>
        </w:rPr>
        <w:t>,</w:t>
      </w:r>
      <w:r w:rsidRPr="007C6FD9">
        <w:rPr>
          <w:lang w:eastAsia="en-GB"/>
        </w:rPr>
        <w:t xml:space="preserve"> </w:t>
      </w:r>
      <w:r w:rsidR="00D64F34">
        <w:rPr>
          <w:lang w:eastAsia="en-GB"/>
        </w:rPr>
        <w:t xml:space="preserve">at any time. </w:t>
      </w:r>
    </w:p>
    <w:p w:rsidRPr="007C6FD9" w:rsidR="007C6FD9" w:rsidP="00165FCC" w:rsidRDefault="007C6FD9" w14:paraId="6F95FB18" w14:textId="074A6760">
      <w:pPr>
        <w:pStyle w:val="NoSpacing"/>
        <w:numPr>
          <w:ilvl w:val="0"/>
          <w:numId w:val="21"/>
        </w:numPr>
        <w:jc w:val="both"/>
        <w:rPr>
          <w:lang w:eastAsia="en-GB"/>
        </w:rPr>
      </w:pPr>
      <w:r w:rsidRPr="007C6FD9">
        <w:rPr>
          <w:lang w:eastAsia="en-GB"/>
        </w:rPr>
        <w:t xml:space="preserve">Cancellation: The </w:t>
      </w:r>
      <w:r w:rsidR="00871D47">
        <w:rPr>
          <w:lang w:eastAsia="en-GB"/>
        </w:rPr>
        <w:t>Trust</w:t>
      </w:r>
      <w:r w:rsidRPr="007C6FD9">
        <w:rPr>
          <w:lang w:eastAsia="en-GB"/>
        </w:rPr>
        <w:t xml:space="preserve"> reserves the right to cancel any booking without notice if conditions of hire are breached, safeguarding is compromised, or the premises are required for school use.</w:t>
      </w:r>
    </w:p>
    <w:p w:rsidR="00E9681B" w:rsidP="00165FCC" w:rsidRDefault="00E9681B" w14:paraId="002ADDCA" w14:textId="77777777">
      <w:pPr>
        <w:pStyle w:val="NoSpacing"/>
        <w:jc w:val="both"/>
        <w:rPr>
          <w:lang w:eastAsia="en-GB"/>
        </w:rPr>
      </w:pPr>
    </w:p>
    <w:p w:rsidRPr="00E9681B" w:rsidR="007C6FD9" w:rsidP="00165FCC" w:rsidRDefault="007C6FD9" w14:paraId="67CEACB8" w14:textId="481F9F30">
      <w:pPr>
        <w:pStyle w:val="NoSpacing"/>
        <w:jc w:val="both"/>
        <w:rPr>
          <w:b/>
          <w:bCs/>
          <w:lang w:eastAsia="en-GB"/>
        </w:rPr>
      </w:pPr>
      <w:r w:rsidRPr="00E9681B">
        <w:rPr>
          <w:b/>
          <w:bCs/>
          <w:lang w:eastAsia="en-GB"/>
        </w:rPr>
        <w:t>8. Linked Policies</w:t>
      </w:r>
    </w:p>
    <w:p w:rsidRPr="007C6FD9" w:rsidR="007C6FD9" w:rsidP="00165FCC" w:rsidRDefault="007C6FD9" w14:paraId="7EC50959" w14:textId="44F755C2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t xml:space="preserve">The Lettings Policy is linked to the following </w:t>
      </w:r>
      <w:r w:rsidR="00871D47">
        <w:rPr>
          <w:lang w:eastAsia="en-GB"/>
        </w:rPr>
        <w:t>Trust</w:t>
      </w:r>
      <w:r w:rsidR="00883A89">
        <w:rPr>
          <w:lang w:eastAsia="en-GB"/>
        </w:rPr>
        <w:t>/</w:t>
      </w:r>
      <w:r w:rsidRPr="007C6FD9">
        <w:rPr>
          <w:lang w:eastAsia="en-GB"/>
        </w:rPr>
        <w:t>school policies:</w:t>
      </w:r>
    </w:p>
    <w:p w:rsidRPr="007C6FD9" w:rsidR="007C6FD9" w:rsidP="00165FCC" w:rsidRDefault="007C6FD9" w14:paraId="68049ADC" w14:textId="641AE9E5">
      <w:pPr>
        <w:pStyle w:val="NoSpacing"/>
        <w:numPr>
          <w:ilvl w:val="0"/>
          <w:numId w:val="22"/>
        </w:numPr>
        <w:jc w:val="both"/>
        <w:rPr>
          <w:lang w:eastAsia="en-GB"/>
        </w:rPr>
      </w:pPr>
      <w:r w:rsidRPr="007C6FD9">
        <w:rPr>
          <w:lang w:eastAsia="en-GB"/>
        </w:rPr>
        <w:t>Safeguarding Policy: Ensuring the safety and well-being of children and vulnerable adults during lettings.</w:t>
      </w:r>
    </w:p>
    <w:p w:rsidRPr="007C6FD9" w:rsidR="007C6FD9" w:rsidP="00165FCC" w:rsidRDefault="007C6FD9" w14:paraId="13B5C9C2" w14:textId="77777777">
      <w:pPr>
        <w:pStyle w:val="NoSpacing"/>
        <w:numPr>
          <w:ilvl w:val="0"/>
          <w:numId w:val="22"/>
        </w:numPr>
        <w:jc w:val="both"/>
        <w:rPr>
          <w:lang w:eastAsia="en-GB"/>
        </w:rPr>
      </w:pPr>
      <w:r w:rsidRPr="007C6FD9">
        <w:rPr>
          <w:lang w:eastAsia="en-GB"/>
        </w:rPr>
        <w:t>Health and Safety Policy: Covering safe use of premises and equipment.</w:t>
      </w:r>
    </w:p>
    <w:p w:rsidRPr="007C6FD9" w:rsidR="007C6FD9" w:rsidP="00165FCC" w:rsidRDefault="007C6FD9" w14:paraId="4009D72A" w14:textId="77777777">
      <w:pPr>
        <w:pStyle w:val="NoSpacing"/>
        <w:numPr>
          <w:ilvl w:val="0"/>
          <w:numId w:val="22"/>
        </w:numPr>
        <w:jc w:val="both"/>
        <w:rPr>
          <w:lang w:eastAsia="en-GB"/>
        </w:rPr>
      </w:pPr>
      <w:r w:rsidRPr="007C6FD9">
        <w:rPr>
          <w:lang w:eastAsia="en-GB"/>
        </w:rPr>
        <w:t>Fire Safety and Emergency Evacuation Procedures: Outlining actions in the event of an emergency.</w:t>
      </w:r>
    </w:p>
    <w:p w:rsidRPr="007C6FD9" w:rsidR="007C6FD9" w:rsidP="00165FCC" w:rsidRDefault="007C6FD9" w14:paraId="54904F3B" w14:textId="77777777">
      <w:pPr>
        <w:pStyle w:val="NoSpacing"/>
        <w:numPr>
          <w:ilvl w:val="0"/>
          <w:numId w:val="22"/>
        </w:numPr>
        <w:jc w:val="both"/>
        <w:rPr>
          <w:lang w:eastAsia="en-GB"/>
        </w:rPr>
      </w:pPr>
      <w:r w:rsidRPr="007C6FD9">
        <w:rPr>
          <w:lang w:eastAsia="en-GB"/>
        </w:rPr>
        <w:t>Complaints Policy: Detailing the process for addressing complaints about the hire or the facilities.</w:t>
      </w:r>
    </w:p>
    <w:p w:rsidR="007C6FD9" w:rsidP="00165FCC" w:rsidRDefault="007C6FD9" w14:paraId="3F3C76A1" w14:textId="77777777">
      <w:pPr>
        <w:pStyle w:val="NoSpacing"/>
        <w:numPr>
          <w:ilvl w:val="0"/>
          <w:numId w:val="22"/>
        </w:numPr>
        <w:jc w:val="both"/>
        <w:rPr>
          <w:lang w:eastAsia="en-GB"/>
        </w:rPr>
      </w:pPr>
      <w:r w:rsidRPr="007C6FD9">
        <w:rPr>
          <w:lang w:eastAsia="en-GB"/>
        </w:rPr>
        <w:t>Data Protection (GDPR) Policy: Ensuring hirers comply with data protection regulations, particularly where personal data is involved.</w:t>
      </w:r>
    </w:p>
    <w:p w:rsidRPr="007C6FD9" w:rsidR="00772AF8" w:rsidP="00772AF8" w:rsidRDefault="00772AF8" w14:paraId="2FD830D3" w14:textId="77777777">
      <w:pPr>
        <w:pStyle w:val="NoSpacing"/>
        <w:ind w:left="720"/>
        <w:jc w:val="both"/>
        <w:rPr>
          <w:lang w:eastAsia="en-GB"/>
        </w:rPr>
      </w:pPr>
    </w:p>
    <w:p w:rsidR="00E9681B" w:rsidP="00165FCC" w:rsidRDefault="00E9681B" w14:paraId="06A38CFE" w14:textId="77777777">
      <w:pPr>
        <w:pStyle w:val="NoSpacing"/>
        <w:jc w:val="both"/>
        <w:rPr>
          <w:lang w:eastAsia="en-GB"/>
        </w:rPr>
      </w:pPr>
    </w:p>
    <w:p w:rsidRPr="00E9681B" w:rsidR="007C6FD9" w:rsidP="00165FCC" w:rsidRDefault="007C6FD9" w14:paraId="0D9FE36C" w14:textId="078B50B3">
      <w:pPr>
        <w:pStyle w:val="NoSpacing"/>
        <w:jc w:val="both"/>
        <w:rPr>
          <w:b/>
          <w:bCs/>
          <w:lang w:eastAsia="en-GB"/>
        </w:rPr>
      </w:pPr>
      <w:r w:rsidRPr="00E9681B">
        <w:rPr>
          <w:b/>
          <w:bCs/>
          <w:lang w:eastAsia="en-GB"/>
        </w:rPr>
        <w:lastRenderedPageBreak/>
        <w:t>9. How to Book</w:t>
      </w:r>
    </w:p>
    <w:p w:rsidRPr="007C6FD9" w:rsidR="007C6FD9" w:rsidP="00165FCC" w:rsidRDefault="007C6FD9" w14:paraId="49E44D0C" w14:textId="4CC1B374">
      <w:pPr>
        <w:pStyle w:val="NoSpacing"/>
        <w:numPr>
          <w:ilvl w:val="0"/>
          <w:numId w:val="25"/>
        </w:numPr>
        <w:jc w:val="both"/>
        <w:rPr>
          <w:lang w:eastAsia="en-GB"/>
        </w:rPr>
      </w:pPr>
      <w:r w:rsidRPr="007C6FD9">
        <w:rPr>
          <w:lang w:eastAsia="en-GB"/>
        </w:rPr>
        <w:t xml:space="preserve">Booking Process: Hirers must </w:t>
      </w:r>
      <w:r w:rsidR="00D64F34">
        <w:rPr>
          <w:lang w:eastAsia="en-GB"/>
        </w:rPr>
        <w:t>contact the individual school to start the booking process</w:t>
      </w:r>
      <w:r w:rsidR="00F75F7E">
        <w:rPr>
          <w:lang w:eastAsia="en-GB"/>
        </w:rPr>
        <w:t>, and complete a</w:t>
      </w:r>
      <w:r w:rsidR="00D02CE9">
        <w:rPr>
          <w:lang w:eastAsia="en-GB"/>
        </w:rPr>
        <w:t xml:space="preserve"> </w:t>
      </w:r>
      <w:r w:rsidRPr="007C6FD9" w:rsidR="00D02CE9">
        <w:rPr>
          <w:lang w:eastAsia="en-GB"/>
        </w:rPr>
        <w:t>Lettings</w:t>
      </w:r>
      <w:r w:rsidR="00D02CE9">
        <w:rPr>
          <w:lang w:eastAsia="en-GB"/>
        </w:rPr>
        <w:t>/Hire</w:t>
      </w:r>
      <w:r w:rsidRPr="007C6FD9" w:rsidR="00D02CE9">
        <w:rPr>
          <w:lang w:eastAsia="en-GB"/>
        </w:rPr>
        <w:t xml:space="preserve"> Agreement</w:t>
      </w:r>
      <w:r w:rsidR="00D02CE9">
        <w:rPr>
          <w:lang w:eastAsia="en-GB"/>
        </w:rPr>
        <w:t>.</w:t>
      </w:r>
    </w:p>
    <w:p w:rsidR="00E9681B" w:rsidP="00165FCC" w:rsidRDefault="00E9681B" w14:paraId="6EDAF83A" w14:textId="77777777">
      <w:pPr>
        <w:pStyle w:val="NoSpacing"/>
        <w:jc w:val="both"/>
        <w:rPr>
          <w:lang w:eastAsia="en-GB"/>
        </w:rPr>
      </w:pPr>
    </w:p>
    <w:p w:rsidRPr="00E9681B" w:rsidR="007C6FD9" w:rsidP="00165FCC" w:rsidRDefault="007C6FD9" w14:paraId="156B98ED" w14:textId="4B64A356">
      <w:pPr>
        <w:pStyle w:val="NoSpacing"/>
        <w:jc w:val="both"/>
        <w:rPr>
          <w:b/>
          <w:bCs/>
          <w:lang w:eastAsia="en-GB"/>
        </w:rPr>
      </w:pPr>
      <w:r w:rsidRPr="00E9681B">
        <w:rPr>
          <w:b/>
          <w:bCs/>
          <w:lang w:eastAsia="en-GB"/>
        </w:rPr>
        <w:t>10. Emergency Procedures</w:t>
      </w:r>
    </w:p>
    <w:p w:rsidRPr="002F0EFC" w:rsidR="007C6FD9" w:rsidP="00165FCC" w:rsidRDefault="007C6FD9" w14:paraId="5BD67F75" w14:textId="77777777">
      <w:pPr>
        <w:pStyle w:val="NoSpacing"/>
        <w:jc w:val="both"/>
        <w:rPr>
          <w:u w:val="single"/>
          <w:lang w:eastAsia="en-GB"/>
        </w:rPr>
      </w:pPr>
      <w:r w:rsidRPr="002F0EFC">
        <w:rPr>
          <w:u w:val="single"/>
          <w:lang w:eastAsia="en-GB"/>
        </w:rPr>
        <w:t>In case of an emergency during the hire period:</w:t>
      </w:r>
    </w:p>
    <w:p w:rsidRPr="007C6FD9" w:rsidR="007C6FD9" w:rsidP="00165FCC" w:rsidRDefault="007C6FD9" w14:paraId="4EE490A8" w14:textId="77777777">
      <w:pPr>
        <w:pStyle w:val="NoSpacing"/>
        <w:numPr>
          <w:ilvl w:val="0"/>
          <w:numId w:val="23"/>
        </w:numPr>
        <w:jc w:val="both"/>
        <w:rPr>
          <w:lang w:eastAsia="en-GB"/>
        </w:rPr>
      </w:pPr>
      <w:r w:rsidRPr="007C6FD9">
        <w:rPr>
          <w:lang w:eastAsia="en-GB"/>
        </w:rPr>
        <w:t>Emergency Contacts: The school will provide an emergency contact number to the hirer prior to the hire period.</w:t>
      </w:r>
    </w:p>
    <w:p w:rsidRPr="007C6FD9" w:rsidR="007C6FD9" w:rsidP="00165FCC" w:rsidRDefault="007C6FD9" w14:paraId="318E5F1D" w14:textId="77777777">
      <w:pPr>
        <w:pStyle w:val="NoSpacing"/>
        <w:numPr>
          <w:ilvl w:val="0"/>
          <w:numId w:val="23"/>
        </w:numPr>
        <w:jc w:val="both"/>
        <w:rPr>
          <w:lang w:eastAsia="en-GB"/>
        </w:rPr>
      </w:pPr>
      <w:r w:rsidRPr="007C6FD9">
        <w:rPr>
          <w:lang w:eastAsia="en-GB"/>
        </w:rPr>
        <w:t>Fire/Evacuation: In case of a fire or other emergency requiring evacuation, the hirer must:</w:t>
      </w:r>
    </w:p>
    <w:p w:rsidRPr="007C6FD9" w:rsidR="007C6FD9" w:rsidP="00165FCC" w:rsidRDefault="007C6FD9" w14:paraId="3DE3AC75" w14:textId="77777777">
      <w:pPr>
        <w:pStyle w:val="NoSpacing"/>
        <w:numPr>
          <w:ilvl w:val="0"/>
          <w:numId w:val="26"/>
        </w:numPr>
        <w:jc w:val="both"/>
        <w:rPr>
          <w:lang w:eastAsia="en-GB"/>
        </w:rPr>
      </w:pPr>
      <w:r w:rsidRPr="007C6FD9">
        <w:rPr>
          <w:lang w:eastAsia="en-GB"/>
        </w:rPr>
        <w:t>Sound the alarm and ensure all participants leave the building safely.</w:t>
      </w:r>
    </w:p>
    <w:p w:rsidRPr="007C6FD9" w:rsidR="007C6FD9" w:rsidP="00165FCC" w:rsidRDefault="007C6FD9" w14:paraId="625BE4EF" w14:textId="77777777">
      <w:pPr>
        <w:pStyle w:val="NoSpacing"/>
        <w:numPr>
          <w:ilvl w:val="0"/>
          <w:numId w:val="26"/>
        </w:numPr>
        <w:jc w:val="both"/>
        <w:rPr>
          <w:lang w:eastAsia="en-GB"/>
        </w:rPr>
      </w:pPr>
      <w:r w:rsidRPr="007C6FD9">
        <w:rPr>
          <w:lang w:eastAsia="en-GB"/>
        </w:rPr>
        <w:t>Gather at the designated assembly point, and conduct a roll call.</w:t>
      </w:r>
    </w:p>
    <w:p w:rsidRPr="007C6FD9" w:rsidR="007C6FD9" w:rsidP="00165FCC" w:rsidRDefault="007C6FD9" w14:paraId="7A6A9C42" w14:textId="77777777">
      <w:pPr>
        <w:pStyle w:val="NoSpacing"/>
        <w:numPr>
          <w:ilvl w:val="0"/>
          <w:numId w:val="26"/>
        </w:numPr>
        <w:jc w:val="both"/>
        <w:rPr>
          <w:lang w:eastAsia="en-GB"/>
        </w:rPr>
      </w:pPr>
      <w:r w:rsidRPr="007C6FD9">
        <w:rPr>
          <w:lang w:eastAsia="en-GB"/>
        </w:rPr>
        <w:t>Report the emergency to the school’s emergency contact and to the fire brigade (dial 999).</w:t>
      </w:r>
    </w:p>
    <w:p w:rsidR="006317DC" w:rsidP="00165FCC" w:rsidRDefault="006317DC" w14:paraId="569C8250" w14:textId="77777777">
      <w:pPr>
        <w:pStyle w:val="NoSpacing"/>
        <w:jc w:val="both"/>
        <w:rPr>
          <w:lang w:eastAsia="en-GB"/>
        </w:rPr>
      </w:pPr>
    </w:p>
    <w:p w:rsidRPr="002F0EFC" w:rsidR="00E979E1" w:rsidP="00165FCC" w:rsidRDefault="007C6FD9" w14:paraId="339B225C" w14:textId="77777777">
      <w:pPr>
        <w:pStyle w:val="NoSpacing"/>
        <w:jc w:val="both"/>
        <w:rPr>
          <w:u w:val="single"/>
          <w:lang w:eastAsia="en-GB"/>
        </w:rPr>
      </w:pPr>
      <w:r w:rsidRPr="002F0EFC">
        <w:rPr>
          <w:u w:val="single"/>
          <w:lang w:eastAsia="en-GB"/>
        </w:rPr>
        <w:t xml:space="preserve">First Aid: </w:t>
      </w:r>
    </w:p>
    <w:p w:rsidR="007C6FD9" w:rsidP="00165FCC" w:rsidRDefault="007C6FD9" w14:paraId="66F97E58" w14:textId="38BF3342">
      <w:pPr>
        <w:pStyle w:val="NoSpacing"/>
        <w:numPr>
          <w:ilvl w:val="0"/>
          <w:numId w:val="27"/>
        </w:numPr>
        <w:jc w:val="both"/>
        <w:rPr>
          <w:lang w:eastAsia="en-GB"/>
        </w:rPr>
      </w:pPr>
      <w:r w:rsidRPr="007C6FD9">
        <w:rPr>
          <w:lang w:eastAsia="en-GB"/>
        </w:rPr>
        <w:t>Hirers should be aware of the location of first aid kits and the nearest medical facilities. Hirers are responsible for administering first aid to their participants</w:t>
      </w:r>
      <w:r w:rsidR="007D5414">
        <w:rPr>
          <w:lang w:eastAsia="en-GB"/>
        </w:rPr>
        <w:t>.</w:t>
      </w:r>
    </w:p>
    <w:p w:rsidRPr="007C6FD9" w:rsidR="006317DC" w:rsidP="00165FCC" w:rsidRDefault="006317DC" w14:paraId="2DBB60C1" w14:textId="77777777">
      <w:pPr>
        <w:pStyle w:val="NoSpacing"/>
        <w:jc w:val="both"/>
        <w:rPr>
          <w:lang w:eastAsia="en-GB"/>
        </w:rPr>
      </w:pPr>
    </w:p>
    <w:p w:rsidRPr="002F0EFC" w:rsidR="00E979E1" w:rsidP="00165FCC" w:rsidRDefault="007C6FD9" w14:paraId="16942C40" w14:textId="77777777">
      <w:pPr>
        <w:pStyle w:val="NoSpacing"/>
        <w:jc w:val="both"/>
        <w:rPr>
          <w:u w:val="single"/>
          <w:lang w:eastAsia="en-GB"/>
        </w:rPr>
      </w:pPr>
      <w:r w:rsidRPr="002F0EFC">
        <w:rPr>
          <w:u w:val="single"/>
          <w:lang w:eastAsia="en-GB"/>
        </w:rPr>
        <w:t xml:space="preserve">Reporting: </w:t>
      </w:r>
    </w:p>
    <w:p w:rsidRPr="007C6FD9" w:rsidR="007C6FD9" w:rsidP="00165FCC" w:rsidRDefault="007C6FD9" w14:paraId="0C70E53E" w14:textId="2BB6958E">
      <w:pPr>
        <w:pStyle w:val="NoSpacing"/>
        <w:numPr>
          <w:ilvl w:val="0"/>
          <w:numId w:val="27"/>
        </w:numPr>
        <w:jc w:val="both"/>
        <w:rPr>
          <w:lang w:eastAsia="en-GB"/>
        </w:rPr>
      </w:pPr>
      <w:r w:rsidRPr="007C6FD9">
        <w:rPr>
          <w:lang w:eastAsia="en-GB"/>
        </w:rPr>
        <w:t>All emergencies, accidents, and near-misses must be reported to the school as soon as possible after the incident.</w:t>
      </w:r>
    </w:p>
    <w:p w:rsidR="00E9681B" w:rsidP="00165FCC" w:rsidRDefault="00E9681B" w14:paraId="6518360A" w14:textId="77777777">
      <w:pPr>
        <w:pStyle w:val="NoSpacing"/>
        <w:jc w:val="both"/>
        <w:rPr>
          <w:lang w:eastAsia="en-GB"/>
        </w:rPr>
      </w:pPr>
    </w:p>
    <w:p w:rsidRPr="00E9681B" w:rsidR="007C6FD9" w:rsidP="00165FCC" w:rsidRDefault="007C6FD9" w14:paraId="621724E2" w14:textId="6171C826">
      <w:pPr>
        <w:pStyle w:val="NoSpacing"/>
        <w:jc w:val="both"/>
        <w:rPr>
          <w:b/>
          <w:bCs/>
          <w:lang w:eastAsia="en-GB"/>
        </w:rPr>
      </w:pPr>
      <w:r w:rsidRPr="00E9681B">
        <w:rPr>
          <w:b/>
          <w:bCs/>
          <w:lang w:eastAsia="en-GB"/>
        </w:rPr>
        <w:t>11. Complaints Procedure</w:t>
      </w:r>
    </w:p>
    <w:p w:rsidRPr="007C6FD9" w:rsidR="007C6FD9" w:rsidP="00165FCC" w:rsidRDefault="007C6FD9" w14:paraId="2CEED622" w14:textId="77777777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t>Complaints regarding lettings must follow these steps:</w:t>
      </w:r>
    </w:p>
    <w:p w:rsidRPr="007C6FD9" w:rsidR="007C6FD9" w:rsidP="002F0EFC" w:rsidRDefault="007C6FD9" w14:paraId="61999CA2" w14:textId="77777777">
      <w:pPr>
        <w:pStyle w:val="NoSpacing"/>
        <w:numPr>
          <w:ilvl w:val="0"/>
          <w:numId w:val="30"/>
        </w:numPr>
        <w:jc w:val="both"/>
        <w:rPr>
          <w:lang w:eastAsia="en-GB"/>
        </w:rPr>
      </w:pPr>
      <w:r w:rsidRPr="007C6FD9">
        <w:rPr>
          <w:lang w:eastAsia="en-GB"/>
        </w:rPr>
        <w:t>Informal Resolution: Attempt to resolve the issue informally with the school’s Lettings Coordinator as soon as the issue arises.</w:t>
      </w:r>
    </w:p>
    <w:p w:rsidRPr="007C6FD9" w:rsidR="007C6FD9" w:rsidP="002F0EFC" w:rsidRDefault="007C6FD9" w14:paraId="5D1ADB3A" w14:textId="77777777">
      <w:pPr>
        <w:pStyle w:val="NoSpacing"/>
        <w:numPr>
          <w:ilvl w:val="0"/>
          <w:numId w:val="30"/>
        </w:numPr>
        <w:jc w:val="both"/>
        <w:rPr>
          <w:lang w:eastAsia="en-GB"/>
        </w:rPr>
      </w:pPr>
      <w:r w:rsidRPr="007C6FD9">
        <w:rPr>
          <w:lang w:eastAsia="en-GB"/>
        </w:rPr>
        <w:t>Formal Complaint: If the issue is not resolved, submit a formal complaint in writing to the school’s Headteacher, outlining the nature of the complaint and any supporting evidence.</w:t>
      </w:r>
    </w:p>
    <w:p w:rsidR="007C6FD9" w:rsidP="002F0EFC" w:rsidRDefault="00871D47" w14:paraId="6A591AE2" w14:textId="74DBEAA3">
      <w:pPr>
        <w:pStyle w:val="NoSpacing"/>
        <w:numPr>
          <w:ilvl w:val="0"/>
          <w:numId w:val="30"/>
        </w:numPr>
        <w:jc w:val="both"/>
        <w:rPr>
          <w:lang w:eastAsia="en-GB"/>
        </w:rPr>
      </w:pPr>
      <w:r>
        <w:rPr>
          <w:lang w:eastAsia="en-GB"/>
        </w:rPr>
        <w:t>Trust</w:t>
      </w:r>
      <w:r w:rsidRPr="007C6FD9" w:rsidR="007C6FD9">
        <w:rPr>
          <w:lang w:eastAsia="en-GB"/>
        </w:rPr>
        <w:t xml:space="preserve"> </w:t>
      </w:r>
      <w:r w:rsidR="00E979E1">
        <w:rPr>
          <w:lang w:eastAsia="en-GB"/>
        </w:rPr>
        <w:t>Committee</w:t>
      </w:r>
      <w:r w:rsidRPr="007C6FD9" w:rsidR="007C6FD9">
        <w:rPr>
          <w:lang w:eastAsia="en-GB"/>
        </w:rPr>
        <w:t xml:space="preserve"> Appeal: If the complaint remains unresolved, it may be escalated to the </w:t>
      </w:r>
      <w:r>
        <w:rPr>
          <w:lang w:eastAsia="en-GB"/>
        </w:rPr>
        <w:t>Trust</w:t>
      </w:r>
      <w:r w:rsidRPr="007C6FD9" w:rsidR="007C6FD9">
        <w:rPr>
          <w:lang w:eastAsia="en-GB"/>
        </w:rPr>
        <w:t xml:space="preserve"> </w:t>
      </w:r>
      <w:r w:rsidR="00E979E1">
        <w:rPr>
          <w:lang w:eastAsia="en-GB"/>
        </w:rPr>
        <w:t>Finance, Audit &amp; Risk committee</w:t>
      </w:r>
      <w:r w:rsidRPr="007C6FD9" w:rsidR="007C6FD9">
        <w:rPr>
          <w:lang w:eastAsia="en-GB"/>
        </w:rPr>
        <w:t>, whose decision will be final.</w:t>
      </w:r>
    </w:p>
    <w:p w:rsidRPr="007C6FD9" w:rsidR="006317DC" w:rsidP="00165FCC" w:rsidRDefault="006317DC" w14:paraId="265E770E" w14:textId="77777777">
      <w:pPr>
        <w:pStyle w:val="NoSpacing"/>
        <w:ind w:left="720"/>
        <w:jc w:val="both"/>
        <w:rPr>
          <w:lang w:eastAsia="en-GB"/>
        </w:rPr>
      </w:pPr>
    </w:p>
    <w:p w:rsidRPr="007C6FD9" w:rsidR="007C6FD9" w:rsidP="00165FCC" w:rsidRDefault="007C6FD9" w14:paraId="77692FA2" w14:textId="77777777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t>Complaints must be lodged within 14 days of the incident or issue.</w:t>
      </w:r>
    </w:p>
    <w:p w:rsidR="00E9681B" w:rsidP="00165FCC" w:rsidRDefault="00E9681B" w14:paraId="1DDE26EE" w14:textId="77777777">
      <w:pPr>
        <w:pStyle w:val="NoSpacing"/>
        <w:jc w:val="both"/>
        <w:rPr>
          <w:lang w:eastAsia="en-GB"/>
        </w:rPr>
      </w:pPr>
    </w:p>
    <w:p w:rsidRPr="007C6FD9" w:rsidR="007C6FD9" w:rsidP="00165FCC" w:rsidRDefault="007C6FD9" w14:paraId="19554A66" w14:textId="6CDE0E79">
      <w:pPr>
        <w:pStyle w:val="NoSpacing"/>
        <w:jc w:val="both"/>
        <w:rPr>
          <w:lang w:eastAsia="en-GB"/>
        </w:rPr>
      </w:pPr>
      <w:r w:rsidRPr="00B14CE6">
        <w:rPr>
          <w:b/>
          <w:bCs/>
          <w:lang w:eastAsia="en-GB"/>
        </w:rPr>
        <w:t>12.</w:t>
      </w:r>
      <w:r w:rsidRPr="00E9681B">
        <w:rPr>
          <w:b/>
          <w:bCs/>
          <w:lang w:eastAsia="en-GB"/>
        </w:rPr>
        <w:t xml:space="preserve"> Review and Monitoring</w:t>
      </w:r>
    </w:p>
    <w:p w:rsidR="007C6FD9" w:rsidP="00165FCC" w:rsidRDefault="007C6FD9" w14:paraId="7813D7EF" w14:textId="35E9094B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t xml:space="preserve">This policy will be reviewed </w:t>
      </w:r>
      <w:r w:rsidR="00A00EBA">
        <w:rPr>
          <w:lang w:eastAsia="en-GB"/>
        </w:rPr>
        <w:t xml:space="preserve">every 3 years, by the </w:t>
      </w:r>
      <w:r w:rsidR="00871D47">
        <w:rPr>
          <w:lang w:eastAsia="en-GB"/>
        </w:rPr>
        <w:t>Trust</w:t>
      </w:r>
      <w:r w:rsidR="00A00EBA">
        <w:rPr>
          <w:lang w:eastAsia="en-GB"/>
        </w:rPr>
        <w:t>s</w:t>
      </w:r>
      <w:r w:rsidR="00C40DD7">
        <w:rPr>
          <w:lang w:eastAsia="en-GB"/>
        </w:rPr>
        <w:t xml:space="preserve"> Finance, Audit &amp; Risk committee, </w:t>
      </w:r>
      <w:r w:rsidRPr="007C6FD9">
        <w:rPr>
          <w:lang w:eastAsia="en-GB"/>
        </w:rPr>
        <w:t>to ensure it remains up to date and effective.</w:t>
      </w:r>
    </w:p>
    <w:p w:rsidRPr="007C6FD9" w:rsidR="006317DC" w:rsidP="00165FCC" w:rsidRDefault="006317DC" w14:paraId="3191ABFF" w14:textId="77777777">
      <w:pPr>
        <w:pStyle w:val="NoSpacing"/>
        <w:jc w:val="both"/>
        <w:rPr>
          <w:lang w:eastAsia="en-GB"/>
        </w:rPr>
      </w:pPr>
    </w:p>
    <w:p w:rsidR="007C6FD9" w:rsidP="00165FCC" w:rsidRDefault="007C6FD9" w14:paraId="2C4FE476" w14:textId="1DC05F31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t xml:space="preserve">School Feedback: Individual schools will provide feedback on lettings and identify any issues or areas for improvement, which will be shared with the </w:t>
      </w:r>
      <w:r w:rsidR="00871D47">
        <w:rPr>
          <w:lang w:eastAsia="en-GB"/>
        </w:rPr>
        <w:t>Trust</w:t>
      </w:r>
      <w:r w:rsidRPr="007C6FD9">
        <w:rPr>
          <w:lang w:eastAsia="en-GB"/>
        </w:rPr>
        <w:t xml:space="preserve"> for consideration in the review process.</w:t>
      </w:r>
    </w:p>
    <w:p w:rsidRPr="007C6FD9" w:rsidR="00772AF8" w:rsidP="00165FCC" w:rsidRDefault="00772AF8" w14:paraId="1854A5C6" w14:textId="77777777">
      <w:pPr>
        <w:pStyle w:val="NoSpacing"/>
        <w:jc w:val="both"/>
        <w:rPr>
          <w:lang w:eastAsia="en-GB"/>
        </w:rPr>
      </w:pPr>
    </w:p>
    <w:p w:rsidRPr="007C6FD9" w:rsidR="007C6FD9" w:rsidP="00165FCC" w:rsidRDefault="007C6FD9" w14:paraId="0FFC476E" w14:textId="77777777">
      <w:pPr>
        <w:pStyle w:val="NoSpacing"/>
        <w:jc w:val="both"/>
        <w:rPr>
          <w:lang w:eastAsia="en-GB"/>
        </w:rPr>
      </w:pPr>
      <w:r w:rsidRPr="007C6FD9">
        <w:rPr>
          <w:lang w:eastAsia="en-GB"/>
        </w:rPr>
        <w:t>Monitoring of Hirers: Schools will monitor the activities of hirers to ensure compliance with the conditions of hire, safeguarding, and health and safety protocols.</w:t>
      </w:r>
    </w:p>
    <w:p w:rsidR="00772AF8" w:rsidP="00165FCC" w:rsidRDefault="00772AF8" w14:paraId="28CFD06C" w14:textId="77777777">
      <w:pPr>
        <w:pStyle w:val="NoSpacing"/>
        <w:jc w:val="both"/>
        <w:rPr>
          <w:highlight w:val="yellow"/>
        </w:rPr>
      </w:pPr>
    </w:p>
    <w:sectPr w:rsidR="00681C2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strument Sans">
    <w:altName w:val="Calibri"/>
    <w:charset w:val="00"/>
    <w:family w:val="auto"/>
    <w:pitch w:val="variable"/>
    <w:sig w:usb0="A000006F" w:usb1="0000006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42C"/>
    <w:multiLevelType w:val="multilevel"/>
    <w:tmpl w:val="FCEE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1C46E3A"/>
    <w:multiLevelType w:val="multilevel"/>
    <w:tmpl w:val="083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2800FFC"/>
    <w:multiLevelType w:val="hybridMultilevel"/>
    <w:tmpl w:val="B2E6C4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34419A"/>
    <w:multiLevelType w:val="hybridMultilevel"/>
    <w:tmpl w:val="04FEC6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282927"/>
    <w:multiLevelType w:val="hybridMultilevel"/>
    <w:tmpl w:val="F64098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41543F"/>
    <w:multiLevelType w:val="multilevel"/>
    <w:tmpl w:val="8A60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B4B4F32"/>
    <w:multiLevelType w:val="hybridMultilevel"/>
    <w:tmpl w:val="2FECF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DF1E42"/>
    <w:multiLevelType w:val="hybridMultilevel"/>
    <w:tmpl w:val="F2F8A5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924B13"/>
    <w:multiLevelType w:val="hybridMultilevel"/>
    <w:tmpl w:val="B8AC0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67E10"/>
    <w:multiLevelType w:val="hybridMultilevel"/>
    <w:tmpl w:val="E87800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16048B"/>
    <w:multiLevelType w:val="hybridMultilevel"/>
    <w:tmpl w:val="ECFC27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43274F"/>
    <w:multiLevelType w:val="multilevel"/>
    <w:tmpl w:val="539A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3D60410"/>
    <w:multiLevelType w:val="hybridMultilevel"/>
    <w:tmpl w:val="0A7221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E80765"/>
    <w:multiLevelType w:val="hybridMultilevel"/>
    <w:tmpl w:val="0032F4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0D03C1"/>
    <w:multiLevelType w:val="multilevel"/>
    <w:tmpl w:val="6A14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2332A"/>
    <w:multiLevelType w:val="multilevel"/>
    <w:tmpl w:val="2ACA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B7B1619"/>
    <w:multiLevelType w:val="hybridMultilevel"/>
    <w:tmpl w:val="AE5EC6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C3629"/>
    <w:multiLevelType w:val="hybridMultilevel"/>
    <w:tmpl w:val="E40C55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844112"/>
    <w:multiLevelType w:val="multilevel"/>
    <w:tmpl w:val="131A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84549A4"/>
    <w:multiLevelType w:val="hybridMultilevel"/>
    <w:tmpl w:val="D79E71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280474A"/>
    <w:multiLevelType w:val="multilevel"/>
    <w:tmpl w:val="4A5E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2956D92"/>
    <w:multiLevelType w:val="multilevel"/>
    <w:tmpl w:val="A352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3F7752C"/>
    <w:multiLevelType w:val="multilevel"/>
    <w:tmpl w:val="F358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A7B7B31"/>
    <w:multiLevelType w:val="hybridMultilevel"/>
    <w:tmpl w:val="36FA6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8F423D0"/>
    <w:multiLevelType w:val="multilevel"/>
    <w:tmpl w:val="2554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31A0EBB"/>
    <w:multiLevelType w:val="hybridMultilevel"/>
    <w:tmpl w:val="B8B0E5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3176A1"/>
    <w:multiLevelType w:val="multilevel"/>
    <w:tmpl w:val="BD20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8C74B7F"/>
    <w:multiLevelType w:val="hybridMultilevel"/>
    <w:tmpl w:val="17AA38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9DF2A56"/>
    <w:multiLevelType w:val="hybridMultilevel"/>
    <w:tmpl w:val="A81CB1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E3D3FD0"/>
    <w:multiLevelType w:val="multilevel"/>
    <w:tmpl w:val="8810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05447990">
    <w:abstractNumId w:val="24"/>
  </w:num>
  <w:num w:numId="2" w16cid:durableId="1887640378">
    <w:abstractNumId w:val="18"/>
  </w:num>
  <w:num w:numId="3" w16cid:durableId="2104375836">
    <w:abstractNumId w:val="15"/>
  </w:num>
  <w:num w:numId="4" w16cid:durableId="333150152">
    <w:abstractNumId w:val="5"/>
  </w:num>
  <w:num w:numId="5" w16cid:durableId="248856475">
    <w:abstractNumId w:val="1"/>
  </w:num>
  <w:num w:numId="6" w16cid:durableId="1534152371">
    <w:abstractNumId w:val="20"/>
  </w:num>
  <w:num w:numId="7" w16cid:durableId="1869685487">
    <w:abstractNumId w:val="0"/>
  </w:num>
  <w:num w:numId="8" w16cid:durableId="77026627">
    <w:abstractNumId w:val="22"/>
  </w:num>
  <w:num w:numId="9" w16cid:durableId="295070042">
    <w:abstractNumId w:val="11"/>
  </w:num>
  <w:num w:numId="10" w16cid:durableId="649755231">
    <w:abstractNumId w:val="29"/>
  </w:num>
  <w:num w:numId="11" w16cid:durableId="2080252530">
    <w:abstractNumId w:val="21"/>
  </w:num>
  <w:num w:numId="12" w16cid:durableId="215746419">
    <w:abstractNumId w:val="14"/>
  </w:num>
  <w:num w:numId="13" w16cid:durableId="1107190546">
    <w:abstractNumId w:val="26"/>
  </w:num>
  <w:num w:numId="14" w16cid:durableId="663817653">
    <w:abstractNumId w:val="28"/>
  </w:num>
  <w:num w:numId="15" w16cid:durableId="1280915323">
    <w:abstractNumId w:val="9"/>
  </w:num>
  <w:num w:numId="16" w16cid:durableId="632911035">
    <w:abstractNumId w:val="2"/>
  </w:num>
  <w:num w:numId="17" w16cid:durableId="463079561">
    <w:abstractNumId w:val="4"/>
  </w:num>
  <w:num w:numId="18" w16cid:durableId="125202556">
    <w:abstractNumId w:val="12"/>
  </w:num>
  <w:num w:numId="19" w16cid:durableId="1395080497">
    <w:abstractNumId w:val="17"/>
  </w:num>
  <w:num w:numId="20" w16cid:durableId="1428889274">
    <w:abstractNumId w:val="25"/>
  </w:num>
  <w:num w:numId="21" w16cid:durableId="707993732">
    <w:abstractNumId w:val="7"/>
  </w:num>
  <w:num w:numId="22" w16cid:durableId="309137142">
    <w:abstractNumId w:val="10"/>
  </w:num>
  <w:num w:numId="23" w16cid:durableId="1690443881">
    <w:abstractNumId w:val="3"/>
  </w:num>
  <w:num w:numId="24" w16cid:durableId="1533687517">
    <w:abstractNumId w:val="27"/>
  </w:num>
  <w:num w:numId="25" w16cid:durableId="66804930">
    <w:abstractNumId w:val="19"/>
  </w:num>
  <w:num w:numId="26" w16cid:durableId="1966696455">
    <w:abstractNumId w:val="6"/>
  </w:num>
  <w:num w:numId="27" w16cid:durableId="1145777759">
    <w:abstractNumId w:val="13"/>
  </w:num>
  <w:num w:numId="28" w16cid:durableId="1889879088">
    <w:abstractNumId w:val="8"/>
  </w:num>
  <w:num w:numId="29" w16cid:durableId="82185475">
    <w:abstractNumId w:val="16"/>
  </w:num>
  <w:num w:numId="30" w16cid:durableId="12070648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D9"/>
    <w:rsid w:val="000C5F63"/>
    <w:rsid w:val="000E4E92"/>
    <w:rsid w:val="00165FCC"/>
    <w:rsid w:val="001966D6"/>
    <w:rsid w:val="001B13B8"/>
    <w:rsid w:val="002356CF"/>
    <w:rsid w:val="002F0EFC"/>
    <w:rsid w:val="0035218E"/>
    <w:rsid w:val="00370F26"/>
    <w:rsid w:val="003D5789"/>
    <w:rsid w:val="004A2BC4"/>
    <w:rsid w:val="00566AC1"/>
    <w:rsid w:val="006317DC"/>
    <w:rsid w:val="00681C2E"/>
    <w:rsid w:val="00772AF8"/>
    <w:rsid w:val="007C6FD9"/>
    <w:rsid w:val="007D5414"/>
    <w:rsid w:val="00871D47"/>
    <w:rsid w:val="00883A89"/>
    <w:rsid w:val="00905FD7"/>
    <w:rsid w:val="0096716A"/>
    <w:rsid w:val="00A00EBA"/>
    <w:rsid w:val="00B14CE6"/>
    <w:rsid w:val="00B93132"/>
    <w:rsid w:val="00BB2D21"/>
    <w:rsid w:val="00BE62FA"/>
    <w:rsid w:val="00C40DD7"/>
    <w:rsid w:val="00C877D5"/>
    <w:rsid w:val="00C94657"/>
    <w:rsid w:val="00D02CE9"/>
    <w:rsid w:val="00D64F34"/>
    <w:rsid w:val="00DE2451"/>
    <w:rsid w:val="00E3339C"/>
    <w:rsid w:val="00E9681B"/>
    <w:rsid w:val="00E979E1"/>
    <w:rsid w:val="00EA3D6C"/>
    <w:rsid w:val="00F213E2"/>
    <w:rsid w:val="00F75F7E"/>
    <w:rsid w:val="00FA0073"/>
    <w:rsid w:val="08CD7D0C"/>
    <w:rsid w:val="26FCC6D6"/>
    <w:rsid w:val="29A47C67"/>
    <w:rsid w:val="43420695"/>
    <w:rsid w:val="49AE8CCB"/>
    <w:rsid w:val="4D2DD7A4"/>
    <w:rsid w:val="5284C037"/>
    <w:rsid w:val="5D9AD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A26C"/>
  <w15:chartTrackingRefBased/>
  <w15:docId w15:val="{A62B1B08-47D2-4EDB-936F-A3343C06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0F26"/>
    <w:pPr>
      <w:spacing w:after="240" w:line="240" w:lineRule="auto"/>
    </w:pPr>
    <w:rPr>
      <w:rFonts w:ascii="Times New Roman" w:hAnsi="Times New Roman" w:eastAsia="Times New Roman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FD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FD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FD9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FD9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FD9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FD9"/>
    <w:pPr>
      <w:keepNext/>
      <w:keepLines/>
      <w:spacing w:before="40" w:after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FD9"/>
    <w:pPr>
      <w:keepNext/>
      <w:keepLines/>
      <w:spacing w:before="40" w:after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FD9"/>
    <w:pPr>
      <w:keepNext/>
      <w:keepLines/>
      <w:spacing w:after="0"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FD9"/>
    <w:pPr>
      <w:keepNext/>
      <w:keepLines/>
      <w:spacing w:after="0"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C6FD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C6FD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C6FD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C6FD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C6FD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C6FD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C6FD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C6FD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C6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FD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7C6FD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FD9"/>
    <w:pPr>
      <w:numPr>
        <w:ilvl w:val="1"/>
      </w:num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7C6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FD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7C6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FD9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6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FD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C6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F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9681B"/>
    <w:pPr>
      <w:spacing w:after="0" w:line="240" w:lineRule="auto"/>
    </w:pPr>
  </w:style>
  <w:style w:type="paragraph" w:styleId="1bodycopy10pt" w:customStyle="1">
    <w:name w:val="1 body copy 10pt"/>
    <w:basedOn w:val="Normal"/>
    <w:link w:val="1bodycopy10ptChar"/>
    <w:qFormat/>
    <w:rsid w:val="00370F26"/>
    <w:pPr>
      <w:spacing w:after="120"/>
    </w:pPr>
    <w:rPr>
      <w:rFonts w:ascii="Arial" w:hAnsi="Arial" w:eastAsia="MS Mincho"/>
      <w:sz w:val="20"/>
      <w:szCs w:val="24"/>
      <w:lang w:val="en-US"/>
    </w:rPr>
  </w:style>
  <w:style w:type="character" w:styleId="1bodycopy10ptChar" w:customStyle="1">
    <w:name w:val="1 body copy 10pt Char"/>
    <w:link w:val="1bodycopy10pt"/>
    <w:rsid w:val="00370F26"/>
    <w:rPr>
      <w:rFonts w:ascii="Arial" w:hAnsi="Arial" w:eastAsia="MS Mincho" w:cs="Times New Roman"/>
      <w:kern w:val="0"/>
      <w:sz w:val="20"/>
      <w:lang w:val="en-US"/>
      <w14:ligatures w14:val="none"/>
    </w:rPr>
  </w:style>
  <w:style w:type="paragraph" w:styleId="1bodycopy11pt" w:customStyle="1">
    <w:name w:val="1 body copy 11pt"/>
    <w:autoRedefine/>
    <w:rsid w:val="00370F26"/>
    <w:pPr>
      <w:spacing w:after="120" w:line="240" w:lineRule="auto"/>
      <w:ind w:right="850"/>
    </w:pPr>
    <w:rPr>
      <w:rFonts w:ascii="Arial" w:hAnsi="Arial" w:eastAsia="MS Mincho" w:cs="Arial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71D7F60A6F54BAA83308B11E39B9E" ma:contentTypeVersion="7" ma:contentTypeDescription="Create a new document." ma:contentTypeScope="" ma:versionID="9f927e170ba7797108cd2d184ca9d715">
  <xsd:schema xmlns:xsd="http://www.w3.org/2001/XMLSchema" xmlns:xs="http://www.w3.org/2001/XMLSchema" xmlns:p="http://schemas.microsoft.com/office/2006/metadata/properties" xmlns:ns2="2a6b9c31-2f51-4d07-9b31-9f1cb3917059" targetNamespace="http://schemas.microsoft.com/office/2006/metadata/properties" ma:root="true" ma:fieldsID="8c88542e0a94c5148842a7dbefae5394" ns2:_="">
    <xsd:import namespace="2a6b9c31-2f51-4d07-9b31-9f1cb3917059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9c31-2f51-4d07-9b31-9f1cb3917059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8" nillable="true" ma:displayName="Target Audiences" ma:internalName="Target_x0020_Audiences">
      <xsd:simpleType>
        <xsd:restriction base="dms:Unknown"/>
      </xsd:simpleType>
    </xsd:element>
    <xsd:element name="_ModernAudienceTargetUserField" ma:index="9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0" nillable="true" ma:displayName="AudienceIds" ma:list="{d5d7bf86-7cc0-4376-ad1e-4bbfe5ed3885}" ma:internalName="_ModernAudienceAadObjectIds" ma:readOnly="true" ma:showField="_AadObjectIdForUser" ma:web="e8873c88-fe15-4c0c-8285-3d994f3a5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ECF7E-497B-4021-AC7B-B84B9AF8BF4A}"/>
</file>

<file path=customXml/itemProps2.xml><?xml version="1.0" encoding="utf-8"?>
<ds:datastoreItem xmlns:ds="http://schemas.openxmlformats.org/officeDocument/2006/customXml" ds:itemID="{3F691839-7F5E-4451-961E-F96772E73D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Kevin Parker</dc:creator>
  <keywords/>
  <dc:description/>
  <lastModifiedBy>Kevin Parker</lastModifiedBy>
  <revision>38</revision>
  <dcterms:created xsi:type="dcterms:W3CDTF">2024-09-26T18:26:00.0000000Z</dcterms:created>
  <dcterms:modified xsi:type="dcterms:W3CDTF">2024-10-11T12:53:48.4601351Z</dcterms:modified>
</coreProperties>
</file>